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jc w:val="center"/>
        <w:textAlignment w:val="auto"/>
        <w:rPr>
          <w:rFonts w:hint="default" w:ascii="Times New Roman" w:hAnsi="Times New Roman" w:eastAsia="仿宋" w:cs="Times New Roman"/>
          <w:b/>
          <w:bCs/>
          <w:color w:val="000000"/>
          <w:sz w:val="32"/>
          <w:szCs w:val="32"/>
          <w:lang w:val="en-US" w:eastAsia="zh-CN"/>
        </w:rPr>
      </w:pPr>
      <w:r>
        <w:rPr>
          <w:rFonts w:hint="default" w:ascii="Times New Roman" w:hAnsi="Times New Roman" w:eastAsia="仿宋" w:cs="Times New Roman"/>
          <w:b/>
          <w:bCs/>
          <w:color w:val="000000"/>
          <w:sz w:val="32"/>
          <w:szCs w:val="32"/>
          <w:lang w:val="en-US" w:eastAsia="zh-CN"/>
        </w:rPr>
        <w:t>浙江水利水电学院南浔校区测绘学院办公室改造项目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105" w:rightChars="50"/>
        <w:jc w:val="left"/>
        <w:textAlignment w:val="auto"/>
        <w:rPr>
          <w:rFonts w:hint="default" w:ascii="Times New Roman" w:hAnsi="Times New Roman" w:eastAsia="仿宋" w:cs="Times New Roman"/>
          <w:b/>
          <w:bCs/>
          <w:color w:val="000000"/>
          <w:sz w:val="26"/>
          <w:szCs w:val="24"/>
          <w:lang w:val="en-US" w:eastAsia="zh-CN"/>
        </w:rPr>
      </w:pPr>
      <w:r>
        <w:rPr>
          <w:rFonts w:hint="default" w:ascii="Times New Roman" w:hAnsi="Times New Roman" w:eastAsia="仿宋" w:cs="Times New Roman"/>
          <w:b/>
          <w:bCs/>
          <w:color w:val="000000"/>
          <w:sz w:val="26"/>
          <w:szCs w:val="24"/>
          <w:lang w:val="en-US" w:eastAsia="zh-CN"/>
        </w:rPr>
        <w:t>施工说明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南浔校区测绘学院办公室改造项目，位于南浔校区遂稳楼北楼。为改善教师办公环境，增加办公面积，对遂稳楼进行改造。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jc w:val="left"/>
        <w:textAlignment w:val="auto"/>
        <w:rPr>
          <w:rFonts w:hint="default" w:ascii="Times New Roman" w:hAnsi="Times New Roman" w:eastAsia="仿宋" w:cs="Times New Roman"/>
          <w:b/>
          <w:bCs/>
          <w:color w:val="000000"/>
          <w:sz w:val="26"/>
          <w:szCs w:val="24"/>
          <w:lang w:val="en-US" w:eastAsia="zh-CN"/>
        </w:rPr>
      </w:pPr>
      <w:r>
        <w:rPr>
          <w:rFonts w:hint="default" w:ascii="Times New Roman" w:hAnsi="Times New Roman" w:eastAsia="仿宋" w:cs="Times New Roman"/>
          <w:b/>
          <w:bCs/>
          <w:color w:val="000000"/>
          <w:sz w:val="26"/>
          <w:szCs w:val="24"/>
          <w:lang w:val="en-US" w:eastAsia="zh-CN"/>
        </w:rPr>
        <w:t>二、总体要求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1、主要内容：</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404-406：分隔4间，砌3堵墙，开2扇门；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410-412：分隔3间，砌2堵墙，开1扇门；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409-411：分隔6间，砌5堵墙，开4扇门；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413-415：分隔3间，砌2堵墙，开1扇门。</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highlight w:val="none"/>
          <w:lang w:val="en-US" w:eastAsia="zh-CN" w:bidi="ar-SA"/>
        </w:rPr>
      </w:pPr>
      <w:r>
        <w:rPr>
          <w:rFonts w:hint="default" w:ascii="仿宋" w:hAnsi="仿宋" w:eastAsia="仿宋" w:cs="仿宋"/>
          <w:bCs/>
          <w:color w:val="000000"/>
          <w:kern w:val="2"/>
          <w:sz w:val="28"/>
          <w:szCs w:val="28"/>
          <w:highlight w:val="none"/>
          <w:lang w:val="en-US" w:eastAsia="zh-CN" w:bidi="ar-SA"/>
        </w:rPr>
        <w:t>项目总预算：9.</w:t>
      </w:r>
      <w:r>
        <w:rPr>
          <w:rFonts w:hint="eastAsia" w:ascii="仿宋" w:hAnsi="仿宋" w:eastAsia="仿宋" w:cs="仿宋"/>
          <w:bCs/>
          <w:color w:val="000000"/>
          <w:kern w:val="2"/>
          <w:sz w:val="28"/>
          <w:szCs w:val="28"/>
          <w:highlight w:val="none"/>
          <w:lang w:val="en-US" w:eastAsia="zh-CN" w:bidi="ar-SA"/>
        </w:rPr>
        <w:t>6</w:t>
      </w:r>
      <w:r>
        <w:rPr>
          <w:rFonts w:hint="default" w:ascii="仿宋" w:hAnsi="仿宋" w:eastAsia="仿宋" w:cs="仿宋"/>
          <w:bCs/>
          <w:color w:val="000000"/>
          <w:kern w:val="2"/>
          <w:sz w:val="28"/>
          <w:szCs w:val="28"/>
          <w:highlight w:val="none"/>
          <w:lang w:val="en-US" w:eastAsia="zh-CN" w:bidi="ar-SA"/>
        </w:rPr>
        <w:t>万元。</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项目工期：签订合同后30天内完成。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4、实施单位必须遵守水电施工基本规则，安全防护措施必须到位，施工人员须具备相应资质。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default" w:ascii="仿宋" w:hAnsi="仿宋" w:eastAsia="仿宋" w:cs="仿宋"/>
          <w:bCs/>
          <w:color w:val="000000"/>
          <w:kern w:val="2"/>
          <w:sz w:val="28"/>
          <w:szCs w:val="28"/>
          <w:lang w:val="en-US" w:eastAsia="zh-CN" w:bidi="ar-SA"/>
        </w:rPr>
        <w:t>5、施工效果整洁美观。施工完成后确保无使用问题及安全隐患。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6</w:t>
      </w:r>
      <w:r>
        <w:rPr>
          <w:rFonts w:hint="default" w:ascii="仿宋" w:hAnsi="仿宋" w:eastAsia="仿宋" w:cs="仿宋"/>
          <w:bCs/>
          <w:color w:val="000000"/>
          <w:kern w:val="2"/>
          <w:sz w:val="28"/>
          <w:szCs w:val="28"/>
          <w:lang w:val="en-US" w:eastAsia="zh-CN" w:bidi="ar-SA"/>
        </w:rPr>
        <w:t>、自行考虑施工中可能存在的风险和成本各种因素，最终需满足用户的要求。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 w:val="0"/>
          <w:bCs/>
          <w:caps w:val="0"/>
          <w:color w:val="000000"/>
          <w:kern w:val="2"/>
          <w:sz w:val="28"/>
          <w:szCs w:val="28"/>
          <w:lang w:val="en-US" w:eastAsia="zh-CN" w:bidi="ar-SA"/>
        </w:rPr>
      </w:pPr>
      <w:r>
        <w:rPr>
          <w:rFonts w:hint="eastAsia" w:ascii="仿宋" w:hAnsi="仿宋" w:eastAsia="仿宋" w:cs="仿宋"/>
          <w:b w:val="0"/>
          <w:bCs/>
          <w:caps w:val="0"/>
          <w:color w:val="000000"/>
          <w:kern w:val="2"/>
          <w:sz w:val="28"/>
          <w:szCs w:val="28"/>
          <w:lang w:val="en-US" w:eastAsia="zh-CN" w:bidi="ar-SA"/>
        </w:rPr>
        <w:t>7、本工程为固定单价合同，工程量按实结算，本工程结算金额不得超过中标价,结算金额以审计为准。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 w:val="0"/>
          <w:bCs/>
          <w:caps w:val="0"/>
          <w:color w:val="000000"/>
          <w:kern w:val="2"/>
          <w:sz w:val="28"/>
          <w:szCs w:val="28"/>
          <w:lang w:val="en-US" w:eastAsia="zh-CN" w:bidi="ar-SA"/>
        </w:rPr>
      </w:pPr>
      <w:r>
        <w:rPr>
          <w:rFonts w:hint="eastAsia" w:ascii="仿宋" w:hAnsi="仿宋" w:eastAsia="仿宋" w:cs="仿宋"/>
          <w:b w:val="0"/>
          <w:bCs/>
          <w:caps w:val="0"/>
          <w:color w:val="000000"/>
          <w:kern w:val="2"/>
          <w:sz w:val="28"/>
          <w:szCs w:val="28"/>
          <w:lang w:val="en-US" w:eastAsia="zh-CN" w:bidi="ar-SA"/>
        </w:rPr>
        <w:t>8、施工单位承担相应的折除、安装、运杂费、税费等其他一切费用，并开具正规发票。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 w:val="0"/>
          <w:bCs/>
          <w:caps w:val="0"/>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9</w:t>
      </w:r>
      <w:r>
        <w:rPr>
          <w:rFonts w:hint="default" w:ascii="仿宋" w:hAnsi="仿宋" w:eastAsia="仿宋" w:cs="仿宋"/>
          <w:bCs/>
          <w:color w:val="000000"/>
          <w:kern w:val="2"/>
          <w:sz w:val="28"/>
          <w:szCs w:val="28"/>
          <w:lang w:val="en-US" w:eastAsia="zh-CN" w:bidi="ar-SA"/>
        </w:rPr>
        <w:t>、其他未尽事宜按相关专业规范、规程执行。</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jc w:val="left"/>
        <w:textAlignment w:val="auto"/>
        <w:rPr>
          <w:rFonts w:hint="default" w:ascii="Times New Roman" w:hAnsi="Times New Roman" w:eastAsia="仿宋" w:cs="Times New Roman"/>
          <w:b/>
          <w:bCs/>
          <w:color w:val="000000"/>
          <w:sz w:val="26"/>
          <w:szCs w:val="24"/>
          <w:lang w:val="en-US" w:eastAsia="zh-CN"/>
        </w:rPr>
      </w:pPr>
      <w:r>
        <w:rPr>
          <w:rFonts w:hint="eastAsia" w:ascii="Times New Roman" w:hAnsi="Times New Roman" w:eastAsia="仿宋" w:cs="Times New Roman"/>
          <w:b/>
          <w:bCs/>
          <w:color w:val="000000"/>
          <w:sz w:val="26"/>
          <w:szCs w:val="24"/>
          <w:lang w:val="en-US" w:eastAsia="zh-CN"/>
        </w:rPr>
        <w:t>三、</w:t>
      </w:r>
      <w:r>
        <w:rPr>
          <w:rFonts w:hint="default" w:ascii="Times New Roman" w:hAnsi="Times New Roman" w:eastAsia="仿宋" w:cs="Times New Roman"/>
          <w:b/>
          <w:bCs/>
          <w:color w:val="000000"/>
          <w:sz w:val="26"/>
          <w:szCs w:val="24"/>
          <w:lang w:val="en-US" w:eastAsia="zh-CN"/>
        </w:rPr>
        <w:t>工程量清单</w:t>
      </w:r>
    </w:p>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r>
        <w:rPr>
          <w:rFonts w:hint="default" w:ascii="Times New Roman" w:hAnsi="Times New Roman" w:eastAsia="仿宋" w:cs="Times New Roman"/>
          <w:color w:val="000000"/>
          <w:kern w:val="2"/>
          <w:sz w:val="26"/>
          <w:szCs w:val="24"/>
          <w:lang w:val="en-US" w:eastAsia="zh-CN" w:bidi="ar-SA"/>
        </w:rPr>
        <w:t>404-406：</w:t>
      </w:r>
    </w:p>
    <w:tbl>
      <w:tblPr>
        <w:tblStyle w:val="8"/>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080"/>
        <w:gridCol w:w="2640"/>
        <w:gridCol w:w="570"/>
        <w:gridCol w:w="766"/>
        <w:gridCol w:w="76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9"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项目名称</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项目特征描述</w:t>
            </w:r>
          </w:p>
        </w:tc>
        <w:tc>
          <w:tcPr>
            <w:tcW w:w="57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计量单位</w:t>
            </w:r>
          </w:p>
        </w:tc>
        <w:tc>
          <w:tcPr>
            <w:tcW w:w="766"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工程量</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综合单价(元)</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合价(元)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9"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264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墙面装饰板</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1.龙骨材料种类、规格、中距:轻钢隔墙龙骨QC75</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2.基层材料种类、规格:12厚纸面石膏板</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93.37</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墙面喷刷涂料</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1.基层类型:石膏板面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2.喷刷涂料部位:墙面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3.刮两遍腻子后刷两遍乳胶漆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186.73</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5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开门洞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1.新开单开门洞</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2.顶面安放预制混凝土过梁</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3.门洞四周干混砂浆修补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4.抹灰层凝结后刮两遍腻子刷两遍乳胶漆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木质门带套</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1.成品木质门带门套安装</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2.门洞尺寸：1m*2.3m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3.包含门锁及五金配件安装</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余方弃置</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建筑垃圾外运</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渣土消纳处置费用</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渣土外运消纳</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1.1</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空调开洞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方便空调穿管</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项</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bl>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r>
        <w:rPr>
          <w:rFonts w:hint="default" w:ascii="Times New Roman" w:hAnsi="Times New Roman" w:eastAsia="仿宋" w:cs="Times New Roman"/>
          <w:color w:val="000000"/>
          <w:kern w:val="2"/>
          <w:sz w:val="26"/>
          <w:szCs w:val="24"/>
          <w:lang w:val="en-US" w:eastAsia="zh-CN" w:bidi="ar-SA"/>
        </w:rPr>
        <w:t>410-412：</w:t>
      </w:r>
    </w:p>
    <w:tbl>
      <w:tblPr>
        <w:tblStyle w:val="8"/>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080"/>
        <w:gridCol w:w="2640"/>
        <w:gridCol w:w="570"/>
        <w:gridCol w:w="766"/>
        <w:gridCol w:w="76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9"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项目名称</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项目特征描述</w:t>
            </w:r>
          </w:p>
        </w:tc>
        <w:tc>
          <w:tcPr>
            <w:tcW w:w="57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计量单位</w:t>
            </w:r>
          </w:p>
        </w:tc>
        <w:tc>
          <w:tcPr>
            <w:tcW w:w="766"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工程量</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综合单价(元)</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合价(元)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9"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264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墙面装饰板</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1.龙骨材料种类、规格、中距:轻钢隔墙龙骨QC75</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2.基层材料种类、规格:12厚纸面石膏板</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52.92</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墙面喷刷涂料</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1.基层类型:石膏板面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2.喷刷涂料部位:墙面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3.刮两遍腻子后刷两遍乳胶漆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105.84</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开门洞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1.新开单开门洞</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2.顶面安放预制混凝土过梁</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3.门洞四周干混砂浆修补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4.抹灰层凝结后刮两遍腻子刷两遍乳胶漆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木质门带套</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1.成品木质门带门套安装</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2.门洞尺寸：1m*2.3m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3.包含门锁及五金配件安装</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余方弃置</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建筑垃圾外运</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渣土消纳处置费用</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渣土外运消纳</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空调开洞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方便空调穿管</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项</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bl>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r>
        <w:rPr>
          <w:rFonts w:hint="default" w:ascii="Times New Roman" w:hAnsi="Times New Roman" w:eastAsia="仿宋" w:cs="Times New Roman"/>
          <w:color w:val="000000"/>
          <w:kern w:val="2"/>
          <w:sz w:val="26"/>
          <w:szCs w:val="24"/>
          <w:lang w:val="en-US" w:eastAsia="zh-CN" w:bidi="ar-SA"/>
        </w:rPr>
        <w:t>409-411：</w:t>
      </w:r>
    </w:p>
    <w:tbl>
      <w:tblPr>
        <w:tblStyle w:val="8"/>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080"/>
        <w:gridCol w:w="2640"/>
        <w:gridCol w:w="570"/>
        <w:gridCol w:w="766"/>
        <w:gridCol w:w="76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9"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项目名称</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项目特征描述</w:t>
            </w:r>
          </w:p>
        </w:tc>
        <w:tc>
          <w:tcPr>
            <w:tcW w:w="57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计量单位</w:t>
            </w:r>
          </w:p>
        </w:tc>
        <w:tc>
          <w:tcPr>
            <w:tcW w:w="766"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工程量</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综合单价(元)</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合价(元)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49"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264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墙面装饰板</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1.龙骨材料种类、规格、中距:轻钢隔墙龙骨QC75</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2.基层材料种类、规格:12厚纸面石膏板</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153.28</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墙面喷刷涂料</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1.基层类型:石膏板面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2.喷刷涂料部位:墙面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3.刮两遍腻子后刷两遍乳胶漆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306.56</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开门洞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1.新开单开门洞</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2.顶面安放预制混凝土过梁</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3.门洞四周干混砂浆修补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4.抹灰层凝结后刮两遍腻子刷两遍乳胶漆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木质门带套</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1.成品木质门带门套安装</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2.门洞尺寸：1m*2.3m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3.包含门锁及五金配件安装</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余方弃置</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建筑垃圾外运</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渣土消纳处置费用</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渣土外运消纳</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2.21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空调开洞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方便空调穿管</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项</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bl>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p>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r>
        <w:rPr>
          <w:rFonts w:hint="default" w:ascii="Times New Roman" w:hAnsi="Times New Roman" w:eastAsia="仿宋" w:cs="Times New Roman"/>
          <w:color w:val="000000"/>
          <w:kern w:val="2"/>
          <w:sz w:val="26"/>
          <w:szCs w:val="24"/>
          <w:lang w:val="en-US" w:eastAsia="zh-CN" w:bidi="ar-SA"/>
        </w:rPr>
        <w:t>413-415：</w:t>
      </w:r>
    </w:p>
    <w:tbl>
      <w:tblPr>
        <w:tblStyle w:val="8"/>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080"/>
        <w:gridCol w:w="2640"/>
        <w:gridCol w:w="570"/>
        <w:gridCol w:w="766"/>
        <w:gridCol w:w="765"/>
        <w:gridCol w:w="8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9"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项目名称</w:t>
            </w:r>
          </w:p>
        </w:tc>
        <w:tc>
          <w:tcPr>
            <w:tcW w:w="264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项目特征描述</w:t>
            </w:r>
          </w:p>
        </w:tc>
        <w:tc>
          <w:tcPr>
            <w:tcW w:w="57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计量单位</w:t>
            </w:r>
          </w:p>
        </w:tc>
        <w:tc>
          <w:tcPr>
            <w:tcW w:w="766"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工程量</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综合单价(元)</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合价(元)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0"/>
                <w:szCs w:val="20"/>
                <w:u w:val="none"/>
              </w:rPr>
            </w:pPr>
            <w:r>
              <w:rPr>
                <w:rFonts w:hint="default" w:ascii="Times New Roman" w:hAnsi="Times New Roman" w:eastAsia="仿宋" w:cs="Times New Roman"/>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749"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264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57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6"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76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FFFFFF" w:fill="FFFFFF"/>
            <w:vAlign w:val="center"/>
          </w:tcPr>
          <w:p>
            <w:pPr>
              <w:jc w:val="center"/>
              <w:rPr>
                <w:rFonts w:hint="default" w:ascii="Times New Roman" w:hAnsi="Times New Roman" w:eastAsia="仿宋"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墙面装饰板</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1.龙骨材料种类、规格、中距:轻钢隔墙龙骨QC75</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2.基层材料种类、规格:12厚纸面石膏板</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66.91</w:t>
            </w:r>
          </w:p>
        </w:tc>
        <w:tc>
          <w:tcPr>
            <w:tcW w:w="7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2</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墙面喷刷涂料</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1.基层类型:石膏板面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2.喷刷涂料部位:墙面</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3.刮两遍腻子后刷两遍乳胶漆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m2</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133.81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开门洞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1.新开单开门洞</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2.顶面安放预制混凝土过梁</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3.门洞四周干混砂浆修补</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4.抹灰层凝结后刮两遍腻子刷两遍乳胶漆</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木质门带套</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1.成品木质门带门套安装</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2.门洞尺寸：1m*2.3m</w:t>
            </w:r>
            <w:r>
              <w:rPr>
                <w:rFonts w:hint="default" w:ascii="Times New Roman" w:hAnsi="Times New Roman" w:eastAsia="仿宋" w:cs="Times New Roman"/>
                <w:i w:val="0"/>
                <w:iCs w:val="0"/>
                <w:color w:val="000000"/>
                <w:kern w:val="0"/>
                <w:sz w:val="20"/>
                <w:szCs w:val="20"/>
                <w:u w:val="none"/>
                <w:lang w:val="en-US" w:eastAsia="zh-CN" w:bidi="ar"/>
              </w:rPr>
              <w:br w:type="textWrapping"/>
            </w:r>
            <w:r>
              <w:rPr>
                <w:rFonts w:hint="default" w:ascii="Times New Roman" w:hAnsi="Times New Roman" w:eastAsia="仿宋" w:cs="Times New Roman"/>
                <w:i w:val="0"/>
                <w:iCs w:val="0"/>
                <w:color w:val="000000"/>
                <w:kern w:val="0"/>
                <w:sz w:val="20"/>
                <w:szCs w:val="20"/>
                <w:u w:val="none"/>
                <w:lang w:val="en-US" w:eastAsia="zh-CN" w:bidi="ar"/>
              </w:rPr>
              <w:t>3.包含门锁及五金配件安装</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樘</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1</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5</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余方弃置</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建筑垃圾外运</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渣土消纳处置费用</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渣土外运消纳</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m3</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sz w:val="20"/>
                <w:szCs w:val="20"/>
                <w:u w:val="none"/>
              </w:rPr>
            </w:pPr>
            <w:r>
              <w:rPr>
                <w:rFonts w:hint="default" w:ascii="Times New Roman" w:hAnsi="Times New Roman" w:eastAsia="仿宋" w:cs="Times New Roman"/>
                <w:i w:val="0"/>
                <w:iCs w:val="0"/>
                <w:color w:val="000000"/>
                <w:kern w:val="0"/>
                <w:sz w:val="20"/>
                <w:szCs w:val="20"/>
                <w:u w:val="none"/>
                <w:lang w:val="en-US" w:eastAsia="zh-CN" w:bidi="ar"/>
              </w:rPr>
              <w:t>0.55</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749"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空调开洞</w:t>
            </w:r>
          </w:p>
        </w:tc>
        <w:tc>
          <w:tcPr>
            <w:tcW w:w="264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方便空调穿管</w:t>
            </w:r>
          </w:p>
        </w:tc>
        <w:tc>
          <w:tcPr>
            <w:tcW w:w="570"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default" w:ascii="Times New Roman" w:hAnsi="Times New Roman" w:eastAsia="仿宋" w:cs="Times New Roman"/>
                <w:i w:val="0"/>
                <w:iCs w:val="0"/>
                <w:color w:val="000000"/>
                <w:kern w:val="0"/>
                <w:sz w:val="20"/>
                <w:szCs w:val="20"/>
                <w:u w:val="none"/>
                <w:lang w:val="en-US" w:eastAsia="zh-CN" w:bidi="ar"/>
              </w:rPr>
              <w:t>项</w:t>
            </w:r>
          </w:p>
        </w:tc>
        <w:tc>
          <w:tcPr>
            <w:tcW w:w="766"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w:t>
            </w:r>
          </w:p>
        </w:tc>
        <w:tc>
          <w:tcPr>
            <w:tcW w:w="765" w:type="dxa"/>
            <w:tcBorders>
              <w:top w:val="single" w:color="000000" w:sz="8" w:space="0"/>
              <w:left w:val="single" w:color="000000" w:sz="8" w:space="0"/>
              <w:bottom w:val="single" w:color="000000" w:sz="8" w:space="0"/>
              <w:right w:val="single" w:color="000000" w:sz="8" w:space="0"/>
            </w:tcBorders>
            <w:shd w:val="clear" w:color="FFFFFF" w:fill="FFFFFF"/>
            <w:vAlign w:val="center"/>
          </w:tcPr>
          <w:p>
            <w:pPr>
              <w:jc w:val="right"/>
              <w:rPr>
                <w:rFonts w:hint="default" w:ascii="Times New Roman" w:hAnsi="Times New Roman" w:eastAsia="仿宋" w:cs="Times New Roman"/>
                <w:i w:val="0"/>
                <w:iCs w:val="0"/>
                <w:color w:val="000000"/>
                <w:sz w:val="20"/>
                <w:szCs w:val="20"/>
                <w:u w:val="none"/>
              </w:rPr>
            </w:pPr>
          </w:p>
        </w:tc>
        <w:tc>
          <w:tcPr>
            <w:tcW w:w="8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eastAsia="仿宋" w:cs="Times New Roman"/>
                <w:i w:val="0"/>
                <w:iCs w:val="0"/>
                <w:color w:val="000000"/>
                <w:sz w:val="22"/>
                <w:szCs w:val="22"/>
                <w:u w:val="none"/>
              </w:rPr>
            </w:pPr>
          </w:p>
        </w:tc>
      </w:tr>
    </w:tbl>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工程量清单中所列的工程数量是估算的或设计的预计数量，仅作为投标的共同基础，具体材料数量及工程量以实际需求为准，需做好详细方案勘察，超出数量不另外计费。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textAlignment w:val="auto"/>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四、安全文明施工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1、成交供应商应遵守工程建设安全文明施工的有关规定。认真落实各项安全保护措施，并随时接受甲方及有关部门的监督检查。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2、成交供应商应对进入施工现场的施工人员进行安全文明施工教育，配备必要的劳动保护用具，保证工程的施工安全和人身安全，特种作业施工人员必须具备相应资质。制定完善的施工组织设计，按照作业要求配备设施设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3、成交供应商应注意保护施工现场邻近建筑物、交通和附近居民、学生的安全，防止因施工不当使附近居民、学生的人身或财产遭受损失。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4、由于成交供应商安全措施不力造成事故的责任和由此发生的费用，由成交供应商承担。在施工过程中，造成的一切安全事故，由</w:t>
      </w:r>
      <w:bookmarkStart w:id="0" w:name="OLE_LINK1"/>
      <w:r>
        <w:rPr>
          <w:rFonts w:hint="eastAsia" w:ascii="仿宋" w:hAnsi="仿宋" w:eastAsia="仿宋" w:cs="仿宋"/>
          <w:bCs/>
          <w:color w:val="000000"/>
          <w:kern w:val="2"/>
          <w:sz w:val="28"/>
          <w:szCs w:val="28"/>
          <w:lang w:val="en-US" w:eastAsia="zh-CN" w:bidi="ar-SA"/>
        </w:rPr>
        <w:t>成交供应商</w:t>
      </w:r>
      <w:bookmarkEnd w:id="0"/>
      <w:r>
        <w:rPr>
          <w:rFonts w:hint="eastAsia" w:ascii="仿宋" w:hAnsi="仿宋" w:eastAsia="仿宋" w:cs="仿宋"/>
          <w:bCs/>
          <w:color w:val="000000"/>
          <w:kern w:val="2"/>
          <w:sz w:val="28"/>
          <w:szCs w:val="28"/>
          <w:lang w:val="en-US" w:eastAsia="zh-CN" w:bidi="ar-SA"/>
        </w:rPr>
        <w:t>自行承担全部经济责任和法律责任。（成交供应商必须严格遵守和执行国家以及杭州市安全生产和劳动保护的有关规定，保证采取一切必要的安全预防措施，以防止成交供应商的雇员、采购方人员及其他人员因成交供应商的不当操作而受到伤害。在施工过程中发生的人身伤亡、财产损失及其它一切事故，其责任全部由成交供应商负责。）</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5、成交供应商必须购买工程险，对项目进行保险；为现场施工人员购买意外险、缴纳社保。如因施工人员未参加保险致甲方遭受损失的，甲方可向成交供应商追偿。相关资料在合同签订后5天内提交给甲方，如5天内无法提供，超期按1000元/天进行处罚，直接从履约保证金中扣除，成交供应商在3天内整改到位，可退还。如整改期限超期后仍未提供，采购人可终止合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6、成交供应商在施工全过程中，要认真做好材料和成品的保护，因失窃失火或其他原因而造成的损失均由成交供应商负责。凡由此而损及甲方利益的，成交供应商应负责赔偿甲方的损失。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7、成交供应商因自行核对确定施工人员具备施工就业相关资质，按照甲方入校要求办理进校流程。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8、投标时需提供项目团队缴纳社保证明及人员证书，中标后如有新增人员需及时提供相关信息，按照招标方入校要求办理进校流程，未经备案员工不许进场。真实报备人员情况，不虚报不漏报，有人员变动及增加及时报备，一旦发现问题，做违约处理。情节严重时，采购人可主动无条件解除合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default" w:ascii="仿宋" w:hAnsi="仿宋" w:eastAsia="仿宋" w:cs="仿宋"/>
          <w:b/>
          <w:bCs/>
          <w:color w:val="000000"/>
          <w:sz w:val="24"/>
          <w:szCs w:val="24"/>
          <w:lang w:val="en-US" w:eastAsia="zh-CN"/>
        </w:rPr>
      </w:pPr>
      <w:r>
        <w:rPr>
          <w:rFonts w:hint="eastAsia" w:ascii="仿宋" w:hAnsi="仿宋" w:eastAsia="仿宋" w:cs="仿宋"/>
          <w:bCs/>
          <w:color w:val="000000"/>
          <w:kern w:val="2"/>
          <w:sz w:val="28"/>
          <w:szCs w:val="28"/>
          <w:lang w:val="en-US" w:eastAsia="zh-CN" w:bidi="ar-SA"/>
        </w:rPr>
        <w:t>9、合同签订前，采购人可对成交供应商提供的项目负责人进行审核，如审核不通过，采购人有权要求成交供应商更换项目负责人。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62" w:firstLineChars="200"/>
        <w:textAlignment w:val="auto"/>
        <w:rPr>
          <w:rFonts w:hint="eastAsia" w:ascii="仿宋" w:hAnsi="仿宋" w:eastAsia="仿宋" w:cs="仿宋"/>
          <w:b/>
          <w:bCs w:val="0"/>
          <w:color w:val="000000"/>
          <w:kern w:val="2"/>
          <w:sz w:val="28"/>
          <w:szCs w:val="28"/>
          <w:lang w:val="en-US" w:eastAsia="zh-CN"/>
        </w:rPr>
      </w:pPr>
      <w:r>
        <w:rPr>
          <w:rFonts w:hint="eastAsia" w:ascii="仿宋" w:hAnsi="仿宋" w:eastAsia="仿宋" w:cs="仿宋"/>
          <w:b/>
          <w:bCs w:val="0"/>
          <w:color w:val="000000"/>
          <w:kern w:val="2"/>
          <w:sz w:val="28"/>
          <w:szCs w:val="28"/>
          <w:lang w:val="en-US" w:eastAsia="zh-CN"/>
        </w:rPr>
        <w:t xml:space="preserve">五、其他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1、以上费用含人工、材料费、管理费、利润、规费、保险、税金及完成本项目所涉及的所有费用。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2、以上费用以审计结算为准。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bCs/>
          <w:color w:val="000000"/>
          <w:kern w:val="2"/>
          <w:sz w:val="28"/>
          <w:szCs w:val="28"/>
          <w:lang w:val="en-US" w:eastAsia="zh-CN" w:bidi="ar-SA"/>
        </w:rPr>
      </w:pPr>
      <w:r>
        <w:rPr>
          <w:rFonts w:hint="eastAsia" w:ascii="仿宋" w:hAnsi="仿宋" w:eastAsia="仿宋" w:cs="仿宋"/>
          <w:bCs/>
          <w:color w:val="000000"/>
          <w:kern w:val="2"/>
          <w:sz w:val="28"/>
          <w:szCs w:val="28"/>
          <w:lang w:val="en-US" w:eastAsia="zh-CN" w:bidi="ar-SA"/>
        </w:rPr>
        <w:t>3、如有疑问可现场勘察。</w:t>
      </w:r>
    </w:p>
    <w:p>
      <w:pPr>
        <w:numPr>
          <w:ilvl w:val="0"/>
          <w:numId w:val="0"/>
        </w:numPr>
        <w:tabs>
          <w:tab w:val="left" w:pos="2595"/>
        </w:tabs>
        <w:bidi w:val="0"/>
        <w:jc w:val="left"/>
        <w:rPr>
          <w:rFonts w:hint="default" w:ascii="Times New Roman" w:hAnsi="Times New Roman" w:eastAsia="仿宋" w:cs="Times New Roman"/>
          <w:color w:val="000000"/>
          <w:kern w:val="2"/>
          <w:sz w:val="26"/>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9E74D"/>
    <w:multiLevelType w:val="singleLevel"/>
    <w:tmpl w:val="D1B9E74D"/>
    <w:lvl w:ilvl="0" w:tentative="0">
      <w:start w:val="2"/>
      <w:numFmt w:val="decimal"/>
      <w:suff w:val="nothing"/>
      <w:lvlText w:val="%1、"/>
      <w:lvlJc w:val="left"/>
    </w:lvl>
  </w:abstractNum>
  <w:abstractNum w:abstractNumId="1">
    <w:nsid w:val="DF308289"/>
    <w:multiLevelType w:val="singleLevel"/>
    <w:tmpl w:val="DF30828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jQ2NDQ5MzQ1YjBiOTJmZTNmMzVmYjBjYTkyNGQifQ=="/>
    <w:docVar w:name="KSO_WPS_MARK_KEY" w:val="7c380ed4-8efb-40bc-957e-652ed03878c6"/>
  </w:docVars>
  <w:rsids>
    <w:rsidRoot w:val="2F88703A"/>
    <w:rsid w:val="0A4D39F2"/>
    <w:rsid w:val="20D74EAF"/>
    <w:rsid w:val="23703F42"/>
    <w:rsid w:val="27C04584"/>
    <w:rsid w:val="2F88703A"/>
    <w:rsid w:val="305D4176"/>
    <w:rsid w:val="313934F5"/>
    <w:rsid w:val="339C77F0"/>
    <w:rsid w:val="42A528E6"/>
    <w:rsid w:val="4E412A05"/>
    <w:rsid w:val="544A5E8F"/>
    <w:rsid w:val="5C3D1A7F"/>
    <w:rsid w:val="64D74683"/>
    <w:rsid w:val="710D0E36"/>
    <w:rsid w:val="7404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360" w:lineRule="auto"/>
    </w:pPr>
    <w:rPr>
      <w:rFonts w:ascii="宋体"/>
      <w:sz w:val="24"/>
      <w:szCs w:val="21"/>
      <w:lang w:val="zh-CN"/>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tabs>
        <w:tab w:val="right" w:leader="dot" w:pos="9403"/>
      </w:tabs>
      <w:snapToGrid w:val="0"/>
      <w:spacing w:line="360" w:lineRule="auto"/>
    </w:pPr>
    <w:rPr>
      <w:b/>
      <w:bCs/>
      <w:caps/>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1215</Words>
  <Characters>1432</Characters>
  <Lines>0</Lines>
  <Paragraphs>0</Paragraphs>
  <TotalTime>1</TotalTime>
  <ScaleCrop>false</ScaleCrop>
  <LinksUpToDate>false</LinksUpToDate>
  <CharactersWithSpaces>1432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2025-05-13T06:20:00Z</dcterms:created>
  <dc:creator>徐振伟</dc:creator>
  <cp:lastModifiedBy>LENOVO</cp:lastModifiedBy>
  <dcterms:modified xsi:type="dcterms:W3CDTF">2025-05-27T02:07:05Z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9BC2CC8E65CF48DFA8290A4597D175E1</vt:lpwstr>
  </property>
</Properties>
</file>