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284FC">
      <w:pPr>
        <w:widowControl/>
        <w:spacing w:line="300" w:lineRule="auto"/>
        <w:ind w:left="283" w:leftChars="135" w:right="422" w:rightChars="201"/>
        <w:jc w:val="center"/>
        <w:rPr>
          <w:rFonts w:hint="eastAsia" w:ascii="微软雅黑" w:hAnsi="微软雅黑" w:eastAsia="微软雅黑" w:cs="微软雅黑"/>
          <w:b/>
          <w:bCs/>
          <w:color w:val="333333"/>
          <w:kern w:val="0"/>
          <w:sz w:val="32"/>
          <w:szCs w:val="32"/>
          <w:lang w:val="en-US" w:eastAsia="zh-CN"/>
        </w:rPr>
      </w:pPr>
      <w:r>
        <w:rPr>
          <w:rFonts w:hint="eastAsia" w:ascii="微软雅黑" w:hAnsi="微软雅黑" w:eastAsia="微软雅黑" w:cs="微软雅黑"/>
          <w:b/>
          <w:bCs/>
          <w:color w:val="333333"/>
          <w:kern w:val="0"/>
          <w:sz w:val="32"/>
          <w:szCs w:val="32"/>
          <w:lang w:val="en-US" w:eastAsia="zh-CN"/>
        </w:rPr>
        <w:t>浙江水利水电学院钱塘校区建筑电气消防安全检测</w:t>
      </w:r>
    </w:p>
    <w:p w14:paraId="3D8AD29E">
      <w:pPr>
        <w:widowControl/>
        <w:spacing w:line="300" w:lineRule="auto"/>
        <w:ind w:left="283" w:leftChars="135" w:right="422" w:rightChars="201"/>
        <w:jc w:val="center"/>
        <w:rPr>
          <w:rFonts w:hint="eastAsia" w:ascii="微软雅黑" w:hAnsi="微软雅黑" w:eastAsia="微软雅黑" w:cs="微软雅黑"/>
          <w:b/>
          <w:bCs/>
          <w:color w:val="333333"/>
          <w:kern w:val="0"/>
          <w:sz w:val="32"/>
          <w:szCs w:val="32"/>
          <w:lang w:val="en-US" w:eastAsia="zh-CN"/>
        </w:rPr>
      </w:pPr>
      <w:r>
        <w:rPr>
          <w:rFonts w:hint="eastAsia" w:ascii="微软雅黑" w:hAnsi="微软雅黑" w:eastAsia="微软雅黑" w:cs="微软雅黑"/>
          <w:b/>
          <w:bCs/>
          <w:color w:val="333333"/>
          <w:kern w:val="0"/>
          <w:sz w:val="32"/>
          <w:szCs w:val="32"/>
          <w:lang w:val="en-US" w:eastAsia="zh-CN"/>
        </w:rPr>
        <w:t>项目技术指标</w:t>
      </w:r>
    </w:p>
    <w:p w14:paraId="525650A3">
      <w:pPr>
        <w:bidi w:val="0"/>
        <w:rPr>
          <w:rFonts w:hint="eastAsia" w:ascii="宋体" w:hAnsi="宋体" w:eastAsia="宋体" w:cs="宋体"/>
          <w:b/>
          <w:bCs/>
          <w:sz w:val="21"/>
          <w:szCs w:val="21"/>
        </w:rPr>
      </w:pPr>
    </w:p>
    <w:p w14:paraId="04D673AA">
      <w:pPr>
        <w:pStyle w:val="3"/>
        <w:numPr>
          <w:ilvl w:val="0"/>
          <w:numId w:val="0"/>
        </w:numPr>
        <w:bidi w:val="0"/>
        <w:rPr>
          <w:rFonts w:hint="default"/>
          <w:sz w:val="32"/>
          <w:szCs w:val="28"/>
          <w:highlight w:val="none"/>
          <w:lang w:val="en-US" w:eastAsia="zh-CN"/>
        </w:rPr>
      </w:pPr>
      <w:r>
        <w:rPr>
          <w:rFonts w:hint="eastAsia"/>
          <w:sz w:val="32"/>
          <w:szCs w:val="28"/>
          <w:highlight w:val="none"/>
          <w:lang w:val="en-US" w:eastAsia="zh-CN"/>
        </w:rPr>
        <w:t>一、项目情况</w:t>
      </w:r>
    </w:p>
    <w:p w14:paraId="26E152CB">
      <w:pPr>
        <w:ind w:firstLine="560" w:firstLineChars="200"/>
        <w:rPr>
          <w:rFonts w:hint="eastAsia" w:ascii="仿宋" w:hAnsi="仿宋" w:eastAsia="仿宋" w:cs="仿宋"/>
          <w:sz w:val="28"/>
          <w:szCs w:val="24"/>
          <w:highlight w:val="none"/>
          <w:lang w:val="en-US" w:eastAsia="zh-CN"/>
        </w:rPr>
      </w:pPr>
      <w:r>
        <w:rPr>
          <w:rFonts w:hint="eastAsia" w:ascii="仿宋" w:hAnsi="仿宋" w:eastAsia="仿宋" w:cs="仿宋"/>
          <w:sz w:val="28"/>
          <w:szCs w:val="24"/>
          <w:highlight w:val="none"/>
          <w:lang w:val="en-US" w:eastAsia="zh-CN"/>
        </w:rPr>
        <w:t>根据上级部门安全提醒的要求，对学校范围内建筑（尤其10年以上）涉及的电气线路进行深度检查，检查内容包括配电箱内开关、漏电保护器等设备是否正常运行，有无跳闸、发热、异味等异常情况；电线电缆是否存在外皮老化、破损、鼠咬等现象，线槽、线管是否完好，有无脱落、破裂；接线板老化；各场所内开关插座是否牢固、有无松动，接线是否规范，有无短路、过载风险等。</w:t>
      </w:r>
    </w:p>
    <w:p w14:paraId="4C42222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28"/>
          <w:szCs w:val="24"/>
          <w:highlight w:val="none"/>
          <w:lang w:val="en-US" w:eastAsia="zh-CN"/>
        </w:rPr>
      </w:pPr>
    </w:p>
    <w:p w14:paraId="0A2D684E">
      <w:pPr>
        <w:jc w:val="center"/>
        <w:rPr>
          <w:rFonts w:hint="default" w:ascii="仿宋" w:hAnsi="仿宋" w:eastAsia="仿宋" w:cs="仿宋"/>
          <w:b/>
          <w:bCs/>
          <w:sz w:val="28"/>
          <w:szCs w:val="24"/>
          <w:highlight w:val="none"/>
          <w:lang w:val="en-US" w:eastAsia="zh-CN"/>
        </w:rPr>
      </w:pPr>
      <w:r>
        <w:rPr>
          <w:rFonts w:hint="eastAsia" w:ascii="仿宋" w:hAnsi="仿宋" w:eastAsia="仿宋" w:cs="仿宋"/>
          <w:b/>
          <w:bCs/>
          <w:sz w:val="28"/>
          <w:szCs w:val="24"/>
          <w:highlight w:val="none"/>
          <w:lang w:val="en-US" w:eastAsia="zh-CN"/>
        </w:rPr>
        <w:t>报价单</w:t>
      </w:r>
    </w:p>
    <w:tbl>
      <w:tblPr>
        <w:tblStyle w:val="13"/>
        <w:tblpPr w:leftFromText="180" w:rightFromText="180" w:vertAnchor="text" w:horzAnchor="margin" w:tblpXSpec="center" w:tblpY="1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72"/>
        <w:gridCol w:w="1975"/>
        <w:gridCol w:w="1330"/>
        <w:gridCol w:w="1250"/>
        <w:gridCol w:w="2244"/>
      </w:tblGrid>
      <w:tr w14:paraId="6346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47" w:type="dxa"/>
            <w:noWrap w:val="0"/>
            <w:vAlign w:val="center"/>
          </w:tcPr>
          <w:p w14:paraId="24A70075">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872" w:type="dxa"/>
            <w:noWrap w:val="0"/>
            <w:vAlign w:val="center"/>
          </w:tcPr>
          <w:p w14:paraId="53DDEA22">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内容</w:t>
            </w:r>
          </w:p>
        </w:tc>
        <w:tc>
          <w:tcPr>
            <w:tcW w:w="1975" w:type="dxa"/>
            <w:noWrap w:val="0"/>
            <w:vAlign w:val="center"/>
          </w:tcPr>
          <w:p w14:paraId="23B59121">
            <w:pPr>
              <w:spacing w:line="4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数量</w:t>
            </w:r>
          </w:p>
        </w:tc>
        <w:tc>
          <w:tcPr>
            <w:tcW w:w="1330" w:type="dxa"/>
            <w:noWrap w:val="0"/>
            <w:vAlign w:val="center"/>
          </w:tcPr>
          <w:p w14:paraId="4F83DFB9">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单价（元）</w:t>
            </w:r>
          </w:p>
        </w:tc>
        <w:tc>
          <w:tcPr>
            <w:tcW w:w="1250" w:type="dxa"/>
            <w:noWrap w:val="0"/>
            <w:vAlign w:val="center"/>
          </w:tcPr>
          <w:p w14:paraId="13AABA09">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总价（元）</w:t>
            </w:r>
          </w:p>
        </w:tc>
        <w:tc>
          <w:tcPr>
            <w:tcW w:w="2244" w:type="dxa"/>
            <w:noWrap w:val="0"/>
            <w:vAlign w:val="center"/>
          </w:tcPr>
          <w:p w14:paraId="38B0FBC2">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tc>
      </w:tr>
      <w:tr w14:paraId="6FFC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47" w:type="dxa"/>
            <w:noWrap w:val="0"/>
            <w:vAlign w:val="center"/>
          </w:tcPr>
          <w:p w14:paraId="7CB5EEAC">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872" w:type="dxa"/>
            <w:noWrap w:val="0"/>
            <w:vAlign w:val="center"/>
          </w:tcPr>
          <w:p w14:paraId="578A7A45">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8"/>
                <w:szCs w:val="24"/>
                <w:highlight w:val="none"/>
                <w:lang w:val="en-US" w:eastAsia="zh-CN"/>
              </w:rPr>
              <w:t>建筑电气消防安全检测</w:t>
            </w:r>
          </w:p>
        </w:tc>
        <w:tc>
          <w:tcPr>
            <w:tcW w:w="1975" w:type="dxa"/>
            <w:noWrap w:val="0"/>
            <w:vAlign w:val="center"/>
          </w:tcPr>
          <w:p w14:paraId="6138107A">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283891m²</w:t>
            </w:r>
          </w:p>
        </w:tc>
        <w:tc>
          <w:tcPr>
            <w:tcW w:w="1330" w:type="dxa"/>
            <w:noWrap w:val="0"/>
            <w:vAlign w:val="center"/>
          </w:tcPr>
          <w:p w14:paraId="51074198">
            <w:pPr>
              <w:spacing w:line="440" w:lineRule="exact"/>
              <w:jc w:val="center"/>
              <w:rPr>
                <w:rFonts w:hint="default" w:ascii="仿宋" w:hAnsi="仿宋" w:eastAsia="仿宋" w:cs="仿宋"/>
                <w:sz w:val="24"/>
                <w:szCs w:val="24"/>
                <w:highlight w:val="none"/>
                <w:lang w:val="en-US" w:eastAsia="zh-CN"/>
              </w:rPr>
            </w:pPr>
          </w:p>
        </w:tc>
        <w:tc>
          <w:tcPr>
            <w:tcW w:w="1250" w:type="dxa"/>
            <w:noWrap w:val="0"/>
            <w:vAlign w:val="center"/>
          </w:tcPr>
          <w:p w14:paraId="6FE3531B">
            <w:pPr>
              <w:spacing w:line="440" w:lineRule="exact"/>
              <w:jc w:val="center"/>
              <w:rPr>
                <w:rFonts w:hint="default" w:ascii="仿宋" w:hAnsi="仿宋" w:eastAsia="仿宋" w:cs="仿宋"/>
                <w:sz w:val="24"/>
                <w:szCs w:val="24"/>
                <w:highlight w:val="none"/>
                <w:lang w:val="en-US" w:eastAsia="zh-CN"/>
              </w:rPr>
            </w:pPr>
          </w:p>
        </w:tc>
        <w:tc>
          <w:tcPr>
            <w:tcW w:w="2244" w:type="dxa"/>
            <w:noWrap w:val="0"/>
            <w:vAlign w:val="center"/>
          </w:tcPr>
          <w:p w14:paraId="30AC2E72">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8"/>
                <w:szCs w:val="24"/>
                <w:highlight w:val="none"/>
                <w:lang w:val="en-US" w:eastAsia="zh-CN"/>
              </w:rPr>
              <w:t>钱塘校区生活区、校区检测报告各一份</w:t>
            </w:r>
          </w:p>
        </w:tc>
      </w:tr>
      <w:tr w14:paraId="2DC5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924" w:type="dxa"/>
            <w:gridSpan w:val="4"/>
            <w:noWrap w:val="0"/>
            <w:vAlign w:val="center"/>
          </w:tcPr>
          <w:p w14:paraId="46E48034">
            <w:pPr>
              <w:tabs>
                <w:tab w:val="left" w:pos="4161"/>
              </w:tabs>
              <w:spacing w:line="440" w:lineRule="exact"/>
              <w:jc w:val="lef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ab/>
            </w:r>
            <w:r>
              <w:rPr>
                <w:rFonts w:hint="eastAsia" w:ascii="仿宋" w:hAnsi="仿宋" w:eastAsia="仿宋" w:cs="仿宋"/>
                <w:b/>
                <w:bCs/>
                <w:sz w:val="24"/>
                <w:szCs w:val="24"/>
                <w:highlight w:val="none"/>
                <w:lang w:eastAsia="zh-CN"/>
              </w:rPr>
              <w:t>小计</w:t>
            </w:r>
          </w:p>
        </w:tc>
        <w:tc>
          <w:tcPr>
            <w:tcW w:w="1250" w:type="dxa"/>
            <w:noWrap w:val="0"/>
            <w:vAlign w:val="center"/>
          </w:tcPr>
          <w:p w14:paraId="259F704C">
            <w:pPr>
              <w:spacing w:line="440" w:lineRule="exact"/>
              <w:jc w:val="center"/>
              <w:rPr>
                <w:rFonts w:hint="eastAsia" w:ascii="仿宋" w:hAnsi="仿宋" w:eastAsia="仿宋" w:cs="仿宋"/>
                <w:b/>
                <w:bCs/>
                <w:sz w:val="24"/>
                <w:szCs w:val="24"/>
                <w:highlight w:val="none"/>
                <w:lang w:val="en-US" w:eastAsia="zh-CN"/>
              </w:rPr>
            </w:pPr>
          </w:p>
        </w:tc>
        <w:tc>
          <w:tcPr>
            <w:tcW w:w="2244" w:type="dxa"/>
            <w:noWrap w:val="0"/>
            <w:vAlign w:val="center"/>
          </w:tcPr>
          <w:p w14:paraId="4C64E184">
            <w:pPr>
              <w:spacing w:line="440" w:lineRule="exact"/>
              <w:jc w:val="center"/>
              <w:rPr>
                <w:rFonts w:hint="eastAsia" w:ascii="仿宋" w:hAnsi="仿宋" w:eastAsia="仿宋" w:cs="仿宋"/>
                <w:sz w:val="24"/>
                <w:szCs w:val="24"/>
                <w:highlight w:val="none"/>
                <w:lang w:val="en-US" w:eastAsia="zh-CN"/>
              </w:rPr>
            </w:pPr>
          </w:p>
        </w:tc>
      </w:tr>
    </w:tbl>
    <w:p w14:paraId="5B91814D">
      <w:pPr>
        <w:pStyle w:val="3"/>
        <w:numPr>
          <w:ilvl w:val="0"/>
          <w:numId w:val="0"/>
        </w:numPr>
        <w:bidi w:val="0"/>
        <w:rPr>
          <w:rFonts w:hint="eastAsia"/>
          <w:sz w:val="32"/>
          <w:szCs w:val="28"/>
          <w:highlight w:val="none"/>
          <w:lang w:eastAsia="zh-CN"/>
        </w:rPr>
      </w:pPr>
      <w:r>
        <w:rPr>
          <w:rFonts w:hint="eastAsia"/>
          <w:sz w:val="32"/>
          <w:szCs w:val="28"/>
          <w:highlight w:val="none"/>
          <w:lang w:val="en-US" w:eastAsia="zh-CN"/>
        </w:rPr>
        <w:t>二、</w:t>
      </w:r>
      <w:r>
        <w:rPr>
          <w:rFonts w:hint="eastAsia"/>
          <w:sz w:val="32"/>
          <w:szCs w:val="28"/>
          <w:highlight w:val="none"/>
          <w:lang w:eastAsia="zh-CN"/>
        </w:rPr>
        <w:t>技术指标</w:t>
      </w:r>
      <w:r>
        <w:rPr>
          <w:rFonts w:hint="eastAsia"/>
          <w:sz w:val="32"/>
          <w:szCs w:val="28"/>
          <w:highlight w:val="none"/>
          <w:lang w:val="en-US" w:eastAsia="zh-CN"/>
        </w:rPr>
        <w:t>及需求</w:t>
      </w:r>
    </w:p>
    <w:p w14:paraId="7C904D28">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1、开关面板及钢板结构检查</w:t>
      </w:r>
    </w:p>
    <w:p w14:paraId="6E513A1C">
      <w:pPr>
        <w:keepNext w:val="0"/>
        <w:keepLines w:val="0"/>
        <w:widowControl/>
        <w:suppressLineNumbers w:val="0"/>
        <w:ind w:left="479" w:leftChars="228" w:firstLine="0" w:firstLineChars="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公寓楼电线老化情况，每层1个配电箱，需检测楼层总线高峰期负载、电线温度和线路最大负荷值，其中1#、3#、4#、5#、6#、7#、8#公寓楼，寝室电箱线路需要检测用电高峰期负载、电线温度和线路最大负荷，检查钢板结构有无变形并出具报告。</w:t>
      </w:r>
    </w:p>
    <w:p w14:paraId="683AD1D0">
      <w:pPr>
        <w:keepNext w:val="0"/>
        <w:keepLines w:val="0"/>
        <w:widowControl/>
        <w:suppressLineNumbers w:val="0"/>
        <w:ind w:left="479" w:leftChars="228"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检查电气线路的负载情况，确保电气设备在安全负荷下运行。防止线路或设备因负载过大而过热，引发火灾或设备损坏。评估用电安全性，确保所有设备处于合理工作负荷范围内。</w:t>
      </w:r>
    </w:p>
    <w:p w14:paraId="23070535">
      <w:pPr>
        <w:keepNext w:val="0"/>
        <w:keepLines w:val="0"/>
        <w:widowControl/>
        <w:suppressLineNumbers w:val="0"/>
        <w:ind w:left="479" w:leftChars="228"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使用电流表或功率分析仪测量线路负荷电流。对比设备额定负荷，确保负荷电流不超过设备的安全承载范围。</w:t>
      </w:r>
    </w:p>
    <w:p w14:paraId="053A9EF8">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 挂锁及功能性联锁检查</w:t>
      </w:r>
    </w:p>
    <w:p w14:paraId="29E7C56C">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检查机械联锁是否可靠</w:t>
      </w:r>
    </w:p>
    <w:p w14:paraId="209D7C8A">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3、手动/电动 分/合闸及相应指示检查</w:t>
      </w:r>
    </w:p>
    <w:p w14:paraId="4774E609">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手动分/合闸及指示检查</w:t>
      </w:r>
    </w:p>
    <w:p w14:paraId="02BD2B16">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电动分/合闸及指示检查</w:t>
      </w:r>
    </w:p>
    <w:p w14:paraId="68F5ACCA">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4、手动/电动储能及相应指示检查</w:t>
      </w:r>
    </w:p>
    <w:p w14:paraId="3DDDD532">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手动储能及指示检查</w:t>
      </w:r>
    </w:p>
    <w:p w14:paraId="6FBC285C">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电动储能及指示检查</w:t>
      </w:r>
    </w:p>
    <w:p w14:paraId="23712967">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储能马达检查</w:t>
      </w:r>
    </w:p>
    <w:p w14:paraId="75D34557">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5、操作机构检查</w:t>
      </w:r>
    </w:p>
    <w:p w14:paraId="3679ADD8">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检查紧固件是否松动或脱落</w:t>
      </w:r>
    </w:p>
    <w:p w14:paraId="7E61E70B">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检查部件是否有变形或断裂</w:t>
      </w:r>
    </w:p>
    <w:p w14:paraId="0A7D8B5B">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检查机构分合闸行程</w:t>
      </w:r>
    </w:p>
    <w:p w14:paraId="7D08C160">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6、摇杆机构检查</w:t>
      </w:r>
    </w:p>
    <w:p w14:paraId="6B88941A">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 摇进摇出操作及指示检查</w:t>
      </w:r>
    </w:p>
    <w:p w14:paraId="1200F07C">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 灭弧罩检查</w:t>
      </w:r>
    </w:p>
    <w:p w14:paraId="37A3AD48">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检查塑料件 </w:t>
      </w:r>
    </w:p>
    <w:p w14:paraId="2EB146E8">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检查灭弧栅</w:t>
      </w:r>
    </w:p>
    <w:p w14:paraId="1585DA24">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8、弧触头检查</w:t>
      </w:r>
    </w:p>
    <w:p w14:paraId="23D59E32">
      <w:pPr>
        <w:spacing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 测量弧触头间隙</w:t>
      </w:r>
    </w:p>
    <w:p w14:paraId="2F94D7D2">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9、母排端子及夹头检查</w:t>
      </w:r>
    </w:p>
    <w:p w14:paraId="740BA766">
      <w:pPr>
        <w:spacing w:line="360" w:lineRule="auto"/>
        <w:ind w:firstLine="1120" w:firstLineChars="4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紧固主体母排螺栓和电缆连接头</w:t>
      </w:r>
    </w:p>
    <w:p w14:paraId="2EAF3673">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 接地螺丝或接地片检查</w:t>
      </w:r>
    </w:p>
    <w:p w14:paraId="06A6BDC2">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检查紧固螺丝。</w:t>
      </w:r>
    </w:p>
    <w:p w14:paraId="63A338A7">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11、二次接线端子排检查</w:t>
      </w:r>
    </w:p>
    <w:p w14:paraId="774F7013">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检查二次线、紧固连接点螺丝</w:t>
      </w:r>
    </w:p>
    <w:p w14:paraId="6B494835">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12、辅助触头NO/NC检查</w:t>
      </w:r>
    </w:p>
    <w:p w14:paraId="5E3F7A66">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测量辅助触头转换情况</w:t>
      </w:r>
    </w:p>
    <w:p w14:paraId="18F46918">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13、脱扣器检查与校验</w:t>
      </w:r>
    </w:p>
    <w:p w14:paraId="565F3813">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按键操作与故障记录检查 </w:t>
      </w:r>
    </w:p>
    <w:p w14:paraId="5986A18D">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脱扣器保护功能校验</w:t>
      </w:r>
    </w:p>
    <w:p w14:paraId="2816029C">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脱扣器整定参数优化</w:t>
      </w:r>
    </w:p>
    <w:p w14:paraId="054A3801">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14、CT及连线检查</w:t>
      </w:r>
    </w:p>
    <w:p w14:paraId="5BACB050">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检查CT及连线有无熔化• CT及连线接插检查</w:t>
      </w:r>
    </w:p>
    <w:p w14:paraId="03F82F4D">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15、框架底座检查</w:t>
      </w:r>
    </w:p>
    <w:p w14:paraId="60B214FD">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 检查安全挡板 </w:t>
      </w:r>
    </w:p>
    <w:p w14:paraId="4BBE3021">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16、回路电阻及绝缘测试</w:t>
      </w:r>
    </w:p>
    <w:p w14:paraId="3236F0C6">
      <w:pPr>
        <w:spacing w:line="360" w:lineRule="auto"/>
        <w:ind w:firstLine="1120" w:firstLineChars="4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回路电阻测试 </w:t>
      </w:r>
    </w:p>
    <w:p w14:paraId="398B3D29">
      <w:pPr>
        <w:spacing w:line="360" w:lineRule="auto"/>
        <w:ind w:firstLine="1124" w:firstLineChars="4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绝缘电阻测试：检测线路的绝缘性能，确保设备正常运行不发生电气泄漏。评估设备的绝缘老化程度，防止由于老化导致的短路或火灾。测量电流漏电情况，及时发现可能的安全隐患。</w:t>
      </w:r>
    </w:p>
    <w:p w14:paraId="773EDB5B">
      <w:pPr>
        <w:spacing w:line="360" w:lineRule="auto"/>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使用绝缘电阻表测量电气线路或设备的绝缘电阻。按照标准要求对比测试结果，判断是否符合安全规范。</w:t>
      </w:r>
    </w:p>
    <w:p w14:paraId="1233CCDA">
      <w:pPr>
        <w:numPr>
          <w:ilvl w:val="0"/>
          <w:numId w:val="1"/>
        </w:numPr>
        <w:spacing w:line="360" w:lineRule="auto"/>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接地电阻检测：确保电气设备的接地系统能够有效工作，避免电气设备漏电对人体或设备造成危害。验证接地装置的有效性，确保其工作时能够迅速将故障电流引入地面。</w:t>
      </w:r>
    </w:p>
    <w:p w14:paraId="65954B2B">
      <w:pPr>
        <w:numPr>
          <w:ilvl w:val="0"/>
          <w:numId w:val="0"/>
        </w:numPr>
        <w:spacing w:line="360" w:lineRule="auto"/>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使用接地电阻测试仪测量接地系统的电阻值，确认其是否符合标准要求。检查接地电极、接地线的连接是否良好，防止因接地不良导致安全隐患。</w:t>
      </w:r>
    </w:p>
    <w:p w14:paraId="5082C269">
      <w:pPr>
        <w:numPr>
          <w:ilvl w:val="0"/>
          <w:numId w:val="1"/>
        </w:numPr>
        <w:spacing w:line="360" w:lineRule="auto"/>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热成像检测：发现电气设备或线路上的异常发热点，防止因过热造成电气火灾。检测接触不良或松动的电气连接部位，避免因接触不良导致过热和火灾。</w:t>
      </w:r>
    </w:p>
    <w:p w14:paraId="0D34C69F">
      <w:pPr>
        <w:numPr>
          <w:ilvl w:val="0"/>
          <w:numId w:val="0"/>
        </w:numPr>
        <w:spacing w:line="360" w:lineRule="auto"/>
        <w:ind w:firstLine="562" w:firstLineChars="200"/>
        <w:jc w:val="left"/>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使用热成像仪扫描电气设备和线路，查找发热点。识别并标记温度异常区域，及时采取措施降低火灾风险。</w:t>
      </w:r>
    </w:p>
    <w:p w14:paraId="71367BB4">
      <w:pPr>
        <w:spacing w:line="360" w:lineRule="auto"/>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19、其他要求</w:t>
      </w:r>
    </w:p>
    <w:p w14:paraId="45F76B49">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（1）用毛刷和毛巾对配电柜内卫生进行清扫和除尘；</w:t>
      </w:r>
    </w:p>
    <w:p w14:paraId="58BFB8FC">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（2）检查抽屉柜各开关机械部分的灵活性和紧固性，并加少量机油；</w:t>
      </w:r>
    </w:p>
    <w:p w14:paraId="6D11F822">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（3）检查各抽屉柜动、静触头插接状况，有无过热现象并抹少量导电膏进行处理；</w:t>
      </w:r>
    </w:p>
    <w:p w14:paraId="575742E6">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（4）对各开关主触头、辅助触头的接触情况、机械、电动操作机构的检查、测试；</w:t>
      </w:r>
    </w:p>
    <w:p w14:paraId="77413DA7">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（5）检查各电流、电压表指示是否正确；</w:t>
      </w:r>
    </w:p>
    <w:p w14:paraId="389996B4">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（6）检查接触器动、静触头和各连接点是否可靠；</w:t>
      </w:r>
    </w:p>
    <w:p w14:paraId="15B72E8F">
      <w:pPr>
        <w:spacing w:line="360" w:lineRule="auto"/>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（7）室内、外电线（不含空气源和热水器）的荷载，室内、外开关的容量检测，满载运行时，电线与空气开关的温度检测。</w:t>
      </w:r>
    </w:p>
    <w:p w14:paraId="31494A6C">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20、检查完成后，需提供专业的建筑电气消防安全检测报告二份，报告需要浙江省消防技术服务管理系统备案并截图为证（钱塘教学区一份，生活区一份）。</w:t>
      </w:r>
    </w:p>
    <w:p w14:paraId="6271E35F">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21、投标单位需提供浙江省消防技术服务管理系统备案截图作为资格认证。</w:t>
      </w:r>
    </w:p>
    <w:p w14:paraId="4FDE5EC4">
      <w:pPr>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22、投标前需对钱塘校区现场进行勘查。</w:t>
      </w:r>
    </w:p>
    <w:p w14:paraId="41FB8DA3">
      <w:pPr>
        <w:spacing w:line="360" w:lineRule="auto"/>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 重点检测位置：二训楼、教D、东泽苑、学生公寓1-7幢、老工训等。</w:t>
      </w:r>
    </w:p>
    <w:p w14:paraId="7606546B">
      <w:pPr>
        <w:rPr>
          <w:rFonts w:hint="eastAsia" w:ascii="宋体" w:hAnsi="宋体" w:eastAsia="宋体" w:cs="宋体"/>
          <w:b/>
          <w:bCs/>
          <w:sz w:val="21"/>
          <w:szCs w:val="21"/>
        </w:rPr>
      </w:pPr>
    </w:p>
    <w:p w14:paraId="4D0D5C78">
      <w:pPr>
        <w:pStyle w:val="6"/>
        <w:jc w:val="center"/>
        <w:rPr>
          <w:rFonts w:hint="eastAsia" w:ascii="宋体" w:hAnsi="宋体" w:eastAsia="宋体" w:cs="宋体"/>
          <w:b/>
          <w:bCs/>
          <w:sz w:val="21"/>
          <w:szCs w:val="21"/>
        </w:rPr>
      </w:pPr>
    </w:p>
    <w:p w14:paraId="324AFF1C">
      <w:pPr>
        <w:pStyle w:val="6"/>
        <w:jc w:val="center"/>
        <w:rPr>
          <w:rFonts w:hint="eastAsia" w:ascii="宋体" w:hAnsi="宋体" w:eastAsia="宋体" w:cs="宋体"/>
          <w:b/>
          <w:bCs/>
          <w:sz w:val="21"/>
          <w:szCs w:val="21"/>
        </w:rPr>
      </w:pPr>
    </w:p>
    <w:p w14:paraId="2B042DB7">
      <w:pPr>
        <w:pStyle w:val="6"/>
        <w:jc w:val="center"/>
        <w:rPr>
          <w:rFonts w:hint="eastAsia" w:ascii="宋体" w:hAnsi="宋体" w:eastAsia="宋体" w:cs="宋体"/>
          <w:b/>
          <w:bCs/>
          <w:sz w:val="21"/>
          <w:szCs w:val="21"/>
        </w:rPr>
      </w:pPr>
    </w:p>
    <w:p w14:paraId="7C9B7D03">
      <w:pPr>
        <w:pStyle w:val="6"/>
        <w:jc w:val="center"/>
        <w:rPr>
          <w:rFonts w:hint="eastAsia" w:ascii="宋体" w:hAnsi="宋体" w:eastAsia="宋体" w:cs="宋体"/>
          <w:b/>
          <w:bCs/>
          <w:sz w:val="21"/>
          <w:szCs w:val="21"/>
        </w:rPr>
      </w:pPr>
    </w:p>
    <w:p w14:paraId="7A0BB40D">
      <w:pPr>
        <w:pStyle w:val="6"/>
        <w:jc w:val="center"/>
        <w:rPr>
          <w:rFonts w:hint="eastAsia" w:ascii="宋体" w:hAnsi="宋体" w:eastAsia="宋体" w:cs="宋体"/>
          <w:b/>
          <w:bCs/>
          <w:sz w:val="21"/>
          <w:szCs w:val="21"/>
        </w:rPr>
      </w:pPr>
    </w:p>
    <w:p w14:paraId="32EEED0F">
      <w:pPr>
        <w:pStyle w:val="6"/>
        <w:jc w:val="center"/>
        <w:rPr>
          <w:rFonts w:hint="eastAsia" w:ascii="宋体" w:hAnsi="宋体" w:eastAsia="宋体" w:cs="宋体"/>
          <w:b/>
          <w:bCs/>
          <w:sz w:val="21"/>
          <w:szCs w:val="21"/>
        </w:rPr>
      </w:pPr>
    </w:p>
    <w:p w14:paraId="4241A116">
      <w:pPr>
        <w:pStyle w:val="6"/>
        <w:jc w:val="center"/>
        <w:rPr>
          <w:rFonts w:hint="eastAsia" w:ascii="宋体" w:hAnsi="宋体" w:eastAsia="宋体" w:cs="宋体"/>
          <w:b/>
          <w:bCs/>
          <w:sz w:val="21"/>
          <w:szCs w:val="21"/>
        </w:rPr>
      </w:pPr>
    </w:p>
    <w:p w14:paraId="3B136B06">
      <w:pPr>
        <w:pStyle w:val="6"/>
        <w:jc w:val="center"/>
        <w:rPr>
          <w:rFonts w:hint="eastAsia" w:ascii="宋体" w:hAnsi="宋体" w:eastAsia="宋体" w:cs="宋体"/>
          <w:b/>
          <w:bCs/>
          <w:sz w:val="21"/>
          <w:szCs w:val="21"/>
        </w:rPr>
      </w:pPr>
    </w:p>
    <w:p w14:paraId="3EC45DB6">
      <w:pPr>
        <w:pStyle w:val="6"/>
        <w:jc w:val="center"/>
        <w:rPr>
          <w:rFonts w:hint="eastAsia" w:ascii="宋体" w:hAnsi="宋体" w:eastAsia="宋体" w:cs="宋体"/>
          <w:b/>
          <w:bCs/>
          <w:sz w:val="21"/>
          <w:szCs w:val="21"/>
        </w:rPr>
      </w:pPr>
    </w:p>
    <w:p w14:paraId="78E10716">
      <w:pPr>
        <w:pStyle w:val="6"/>
        <w:jc w:val="center"/>
        <w:rPr>
          <w:rFonts w:hint="eastAsia" w:ascii="宋体" w:hAnsi="宋体" w:eastAsia="宋体" w:cs="宋体"/>
          <w:b/>
          <w:bCs/>
          <w:sz w:val="21"/>
          <w:szCs w:val="21"/>
        </w:rPr>
      </w:pPr>
    </w:p>
    <w:p w14:paraId="0F04CA98">
      <w:pPr>
        <w:pStyle w:val="6"/>
        <w:jc w:val="center"/>
        <w:rPr>
          <w:rFonts w:hint="eastAsia" w:ascii="宋体" w:hAnsi="宋体" w:eastAsia="宋体" w:cs="宋体"/>
          <w:b/>
          <w:bCs/>
          <w:sz w:val="21"/>
          <w:szCs w:val="21"/>
        </w:rPr>
      </w:pPr>
    </w:p>
    <w:p w14:paraId="18478F8E">
      <w:pPr>
        <w:pStyle w:val="6"/>
        <w:jc w:val="center"/>
        <w:rPr>
          <w:rFonts w:hint="eastAsia" w:ascii="宋体" w:hAnsi="宋体" w:eastAsia="宋体" w:cs="宋体"/>
          <w:b/>
          <w:bCs/>
          <w:sz w:val="21"/>
          <w:szCs w:val="21"/>
        </w:rPr>
      </w:pPr>
    </w:p>
    <w:p w14:paraId="4A628398">
      <w:pPr>
        <w:pStyle w:val="6"/>
        <w:jc w:val="center"/>
        <w:rPr>
          <w:rFonts w:hint="eastAsia" w:ascii="宋体" w:hAnsi="宋体" w:eastAsia="宋体" w:cs="宋体"/>
          <w:b/>
          <w:bCs/>
          <w:sz w:val="21"/>
          <w:szCs w:val="21"/>
        </w:rPr>
      </w:pPr>
    </w:p>
    <w:p w14:paraId="5D174B7C">
      <w:pPr>
        <w:pStyle w:val="6"/>
        <w:jc w:val="center"/>
        <w:rPr>
          <w:rFonts w:hint="eastAsia" w:ascii="宋体" w:hAnsi="宋体" w:eastAsia="宋体" w:cs="宋体"/>
          <w:b/>
          <w:bCs/>
          <w:sz w:val="21"/>
          <w:szCs w:val="21"/>
        </w:rPr>
      </w:pPr>
      <w:r>
        <w:rPr>
          <w:rFonts w:hint="eastAsia" w:ascii="宋体" w:hAnsi="宋体" w:eastAsia="宋体" w:cs="宋体"/>
          <w:b/>
          <w:bCs/>
          <w:sz w:val="21"/>
          <w:szCs w:val="21"/>
        </w:rPr>
        <w:t>具有履行合同所必需的设备和专业技术能力的承诺函</w:t>
      </w:r>
    </w:p>
    <w:p w14:paraId="143BA3BB">
      <w:pPr>
        <w:pStyle w:val="6"/>
        <w:rPr>
          <w:rFonts w:hint="eastAsia" w:ascii="宋体" w:hAnsi="宋体" w:eastAsia="宋体" w:cs="宋体"/>
          <w:sz w:val="21"/>
          <w:szCs w:val="21"/>
        </w:rPr>
      </w:pPr>
    </w:p>
    <w:p w14:paraId="759EF46E">
      <w:pPr>
        <w:pStyle w:val="6"/>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采购人：</w:t>
      </w:r>
      <w:r>
        <w:rPr>
          <w:rFonts w:hint="eastAsia" w:ascii="宋体" w:hAnsi="宋体" w:eastAsia="宋体" w:cs="宋体"/>
          <w:sz w:val="21"/>
          <w:szCs w:val="21"/>
          <w:lang w:val="en-US" w:eastAsia="zh-CN"/>
        </w:rPr>
        <w:t>浙江水利水电学院</w:t>
      </w:r>
    </w:p>
    <w:p w14:paraId="776874D0">
      <w:pPr>
        <w:pStyle w:val="6"/>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我方 （</w:t>
      </w:r>
      <w:r>
        <w:rPr>
          <w:rFonts w:hint="eastAsia" w:ascii="宋体" w:hAnsi="宋体" w:eastAsia="宋体" w:cs="宋体"/>
          <w:sz w:val="21"/>
          <w:szCs w:val="21"/>
          <w:lang w:val="en-US" w:eastAsia="zh-CN"/>
        </w:rPr>
        <w:t>公司名称</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承诺具有履行合同所必需的设备和专业技术能力。如有虚假，采购人可取消我方任何资格（投标/中标/签订合同），我方对此无任何异议。</w:t>
      </w:r>
    </w:p>
    <w:p w14:paraId="024B6BC3">
      <w:pPr>
        <w:pStyle w:val="6"/>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p>
    <w:p w14:paraId="4159AFB2">
      <w:pPr>
        <w:pStyle w:val="6"/>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投标人全称（盖单位公章）：</w:t>
      </w:r>
    </w:p>
    <w:p w14:paraId="78008AEA">
      <w:pPr>
        <w:pStyle w:val="6"/>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14:paraId="395379A4">
      <w:pPr>
        <w:pStyle w:val="6"/>
        <w:jc w:val="center"/>
        <w:rPr>
          <w:rFonts w:hint="eastAsia" w:ascii="宋体" w:hAnsi="宋体" w:eastAsia="宋体" w:cs="宋体"/>
          <w:b/>
          <w:bCs/>
          <w:sz w:val="21"/>
          <w:szCs w:val="21"/>
        </w:rPr>
      </w:pPr>
      <w:r>
        <w:rPr>
          <w:rFonts w:hint="eastAsia" w:ascii="宋体" w:hAnsi="宋体" w:eastAsia="宋体" w:cs="宋体"/>
          <w:b/>
          <w:bCs/>
          <w:sz w:val="21"/>
          <w:szCs w:val="21"/>
        </w:rPr>
        <w:t>现 场 勘 察 证 明</w:t>
      </w:r>
    </w:p>
    <w:p w14:paraId="7CCCBFE3">
      <w:pPr>
        <w:pStyle w:val="6"/>
        <w:jc w:val="center"/>
        <w:rPr>
          <w:rFonts w:hint="eastAsia" w:ascii="宋体" w:hAnsi="宋体" w:eastAsia="宋体" w:cs="宋体"/>
          <w:b/>
          <w:bCs/>
          <w:sz w:val="21"/>
          <w:szCs w:val="21"/>
        </w:rPr>
      </w:pPr>
    </w:p>
    <w:p w14:paraId="67EB1043">
      <w:pPr>
        <w:pStyle w:val="6"/>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项目名称：</w:t>
      </w:r>
      <w:r>
        <w:rPr>
          <w:rFonts w:hint="eastAsia" w:asciiTheme="minorEastAsia" w:hAnsiTheme="minorEastAsia" w:eastAsiaTheme="minorEastAsia" w:cstheme="minorEastAsia"/>
          <w:i w:val="0"/>
          <w:iCs w:val="0"/>
          <w:caps w:val="0"/>
          <w:color w:val="333333"/>
          <w:spacing w:val="0"/>
          <w:sz w:val="21"/>
          <w:szCs w:val="21"/>
          <w:shd w:val="clear" w:fill="FFFFFF"/>
          <w:lang w:val="en-US" w:eastAsia="zh-CN"/>
        </w:rPr>
        <w:t>浙江水利水电学院钱塘校区建筑电气消防安全检测项目</w:t>
      </w:r>
    </w:p>
    <w:p w14:paraId="3B3828B5">
      <w:pPr>
        <w:pStyle w:val="6"/>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baseline"/>
        <w:rPr>
          <w:rFonts w:hint="eastAsia" w:ascii="宋体" w:hAnsi="宋体" w:eastAsia="宋体" w:cs="宋体"/>
          <w:sz w:val="21"/>
          <w:szCs w:val="21"/>
          <w:lang w:val="en-US" w:eastAsia="zh-CN"/>
        </w:rPr>
      </w:pPr>
      <w:bookmarkStart w:id="0" w:name="_GoBack"/>
      <w:bookmarkEnd w:id="0"/>
    </w:p>
    <w:p w14:paraId="41FBCCD6">
      <w:pPr>
        <w:pStyle w:val="6"/>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应采购人要求，我方（公司名称：                         ）于   年  月  日完成现场勘察，并根据采购人要求自行设计技术方案，否则将视为无效投标，特此证明，此证明文件作为投标文件的有效组成部分。</w:t>
      </w:r>
    </w:p>
    <w:p w14:paraId="11890525">
      <w:pPr>
        <w:pStyle w:val="6"/>
        <w:keepNext w:val="0"/>
        <w:keepLines w:val="0"/>
        <w:pageBreakBefore w:val="0"/>
        <w:widowControl w:val="0"/>
        <w:kinsoku/>
        <w:wordWrap/>
        <w:overflowPunct/>
        <w:topLinePunct w:val="0"/>
        <w:autoSpaceDE/>
        <w:autoSpaceDN/>
        <w:bidi w:val="0"/>
        <w:adjustRightInd w:val="0"/>
        <w:snapToGrid/>
        <w:spacing w:line="800" w:lineRule="exact"/>
        <w:ind w:left="840" w:leftChars="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                 （签字）</w:t>
      </w:r>
    </w:p>
    <w:p w14:paraId="58CAAE12">
      <w:pPr>
        <w:pStyle w:val="6"/>
        <w:keepNext w:val="0"/>
        <w:keepLines w:val="0"/>
        <w:pageBreakBefore w:val="0"/>
        <w:widowControl w:val="0"/>
        <w:kinsoku/>
        <w:wordWrap/>
        <w:overflowPunct/>
        <w:topLinePunct w:val="0"/>
        <w:autoSpaceDE/>
        <w:autoSpaceDN/>
        <w:bidi w:val="0"/>
        <w:adjustRightInd w:val="0"/>
        <w:snapToGrid/>
        <w:spacing w:line="800" w:lineRule="exact"/>
        <w:ind w:firstLine="420" w:firstLine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投标人公司名称：                          （盖章）</w:t>
      </w:r>
    </w:p>
    <w:p w14:paraId="7915B901">
      <w:pPr>
        <w:pStyle w:val="6"/>
        <w:keepNext w:val="0"/>
        <w:keepLines w:val="0"/>
        <w:pageBreakBefore w:val="0"/>
        <w:widowControl w:val="0"/>
        <w:kinsoku/>
        <w:wordWrap/>
        <w:overflowPunct/>
        <w:topLinePunct w:val="0"/>
        <w:autoSpaceDE/>
        <w:autoSpaceDN/>
        <w:bidi w:val="0"/>
        <w:adjustRightInd w:val="0"/>
        <w:snapToGrid/>
        <w:spacing w:line="800" w:lineRule="exact"/>
        <w:ind w:firstLine="1047" w:firstLineChars="499"/>
        <w:textAlignment w:val="baseline"/>
        <w:rPr>
          <w:rFonts w:hint="default"/>
          <w:kern w:val="2"/>
          <w:highlight w:val="none"/>
          <w:lang w:val="en-US" w:eastAsia="zh-CN"/>
        </w:rPr>
      </w:pPr>
      <w:r>
        <w:rPr>
          <w:rFonts w:hint="eastAsia" w:ascii="宋体" w:hAnsi="宋体" w:eastAsia="宋体" w:cs="宋体"/>
          <w:sz w:val="21"/>
          <w:szCs w:val="21"/>
          <w:lang w:val="en-US" w:eastAsia="zh-CN"/>
        </w:rPr>
        <w:t>勘察时间：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9458">
    <w:pPr>
      <w:pStyle w:val="9"/>
      <w:jc w:val="center"/>
    </w:pPr>
    <w:r>
      <w:fldChar w:fldCharType="begin"/>
    </w:r>
    <w:r>
      <w:instrText xml:space="preserve">PAGE   \* MERGEFORMAT</w:instrText>
    </w:r>
    <w:r>
      <w:fldChar w:fldCharType="separate"/>
    </w:r>
    <w:r>
      <w:rPr>
        <w:lang w:val="zh-CN"/>
      </w:rPr>
      <w:t>1</w:t>
    </w:r>
    <w:r>
      <w:rPr>
        <w:lang w:val="zh-CN"/>
      </w:rPr>
      <w:fldChar w:fldCharType="end"/>
    </w:r>
  </w:p>
  <w:p w14:paraId="08EF8D9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0E84A"/>
    <w:multiLevelType w:val="singleLevel"/>
    <w:tmpl w:val="4D40E84A"/>
    <w:lvl w:ilvl="0" w:tentative="0">
      <w:start w:val="1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ZWMxNTRhMzJlYmIxYTZiZTRjZGY2OTg2MjZmZTMifQ=="/>
    <w:docVar w:name="KSO_WPS_MARK_KEY" w:val="08181f49-10e2-4d8d-b446-3dcb5facba79"/>
  </w:docVars>
  <w:rsids>
    <w:rsidRoot w:val="635028B9"/>
    <w:rsid w:val="000163E7"/>
    <w:rsid w:val="00063939"/>
    <w:rsid w:val="000E64D5"/>
    <w:rsid w:val="00140227"/>
    <w:rsid w:val="001615C7"/>
    <w:rsid w:val="001903F8"/>
    <w:rsid w:val="001B1C59"/>
    <w:rsid w:val="001D1A1F"/>
    <w:rsid w:val="001F444B"/>
    <w:rsid w:val="00215771"/>
    <w:rsid w:val="003107C3"/>
    <w:rsid w:val="00361FB8"/>
    <w:rsid w:val="00386F73"/>
    <w:rsid w:val="003F52BD"/>
    <w:rsid w:val="003F533F"/>
    <w:rsid w:val="00447F73"/>
    <w:rsid w:val="004721BE"/>
    <w:rsid w:val="004F1093"/>
    <w:rsid w:val="005117B7"/>
    <w:rsid w:val="00552F8E"/>
    <w:rsid w:val="005A5F16"/>
    <w:rsid w:val="00646516"/>
    <w:rsid w:val="0066067A"/>
    <w:rsid w:val="006A3993"/>
    <w:rsid w:val="00720261"/>
    <w:rsid w:val="0075275F"/>
    <w:rsid w:val="00760301"/>
    <w:rsid w:val="00791FBA"/>
    <w:rsid w:val="0082165C"/>
    <w:rsid w:val="00852F04"/>
    <w:rsid w:val="00870F7B"/>
    <w:rsid w:val="00885090"/>
    <w:rsid w:val="008F3A2C"/>
    <w:rsid w:val="009129C0"/>
    <w:rsid w:val="009265C6"/>
    <w:rsid w:val="0096414D"/>
    <w:rsid w:val="00992C8D"/>
    <w:rsid w:val="009E2976"/>
    <w:rsid w:val="009F32CB"/>
    <w:rsid w:val="00B01B99"/>
    <w:rsid w:val="00B2528F"/>
    <w:rsid w:val="00BA09BE"/>
    <w:rsid w:val="00D87392"/>
    <w:rsid w:val="00DC7349"/>
    <w:rsid w:val="00DD0E76"/>
    <w:rsid w:val="00DE4387"/>
    <w:rsid w:val="00DE6D2D"/>
    <w:rsid w:val="00E0298A"/>
    <w:rsid w:val="00E50AA9"/>
    <w:rsid w:val="00EF1774"/>
    <w:rsid w:val="00F06B9C"/>
    <w:rsid w:val="00F06DF7"/>
    <w:rsid w:val="00F20867"/>
    <w:rsid w:val="00F956D2"/>
    <w:rsid w:val="00FA250C"/>
    <w:rsid w:val="00FC01BF"/>
    <w:rsid w:val="00FE2618"/>
    <w:rsid w:val="01B930C4"/>
    <w:rsid w:val="020B2736"/>
    <w:rsid w:val="033243BE"/>
    <w:rsid w:val="03B71DAC"/>
    <w:rsid w:val="0461266A"/>
    <w:rsid w:val="04732310"/>
    <w:rsid w:val="04BC223F"/>
    <w:rsid w:val="05386539"/>
    <w:rsid w:val="06B82787"/>
    <w:rsid w:val="08501852"/>
    <w:rsid w:val="08A935B0"/>
    <w:rsid w:val="09C14D34"/>
    <w:rsid w:val="0ECE4857"/>
    <w:rsid w:val="0F10730A"/>
    <w:rsid w:val="108E5C4F"/>
    <w:rsid w:val="11A12F82"/>
    <w:rsid w:val="13C40A2C"/>
    <w:rsid w:val="14BE39FB"/>
    <w:rsid w:val="14F0313A"/>
    <w:rsid w:val="150A34F5"/>
    <w:rsid w:val="15E678C5"/>
    <w:rsid w:val="16191DA5"/>
    <w:rsid w:val="18212328"/>
    <w:rsid w:val="18993CCA"/>
    <w:rsid w:val="1AD427F4"/>
    <w:rsid w:val="1CCD4300"/>
    <w:rsid w:val="1D5658C1"/>
    <w:rsid w:val="1E4D4A83"/>
    <w:rsid w:val="1E9C6E4C"/>
    <w:rsid w:val="1FB468CB"/>
    <w:rsid w:val="207746EB"/>
    <w:rsid w:val="22E96B76"/>
    <w:rsid w:val="24BB1284"/>
    <w:rsid w:val="26C2703F"/>
    <w:rsid w:val="27687D3F"/>
    <w:rsid w:val="280B2A12"/>
    <w:rsid w:val="28667E04"/>
    <w:rsid w:val="28CE0768"/>
    <w:rsid w:val="2AD43590"/>
    <w:rsid w:val="2AE01F34"/>
    <w:rsid w:val="2AF21C68"/>
    <w:rsid w:val="2B2B1A81"/>
    <w:rsid w:val="2CC50A25"/>
    <w:rsid w:val="31056176"/>
    <w:rsid w:val="313B7A18"/>
    <w:rsid w:val="3220530C"/>
    <w:rsid w:val="326F281D"/>
    <w:rsid w:val="334206C1"/>
    <w:rsid w:val="339A3692"/>
    <w:rsid w:val="373C5655"/>
    <w:rsid w:val="391E1CBE"/>
    <w:rsid w:val="3A9F292D"/>
    <w:rsid w:val="3B9938D8"/>
    <w:rsid w:val="3EB85615"/>
    <w:rsid w:val="3F313201"/>
    <w:rsid w:val="3F715FAA"/>
    <w:rsid w:val="403171DE"/>
    <w:rsid w:val="43144F65"/>
    <w:rsid w:val="4460572C"/>
    <w:rsid w:val="44A112B8"/>
    <w:rsid w:val="44B4037F"/>
    <w:rsid w:val="44F036F7"/>
    <w:rsid w:val="45400A26"/>
    <w:rsid w:val="45841EF6"/>
    <w:rsid w:val="47C24431"/>
    <w:rsid w:val="47D25DBC"/>
    <w:rsid w:val="47FE27E2"/>
    <w:rsid w:val="482C1332"/>
    <w:rsid w:val="495F4514"/>
    <w:rsid w:val="4A61290F"/>
    <w:rsid w:val="4AD15709"/>
    <w:rsid w:val="4C0D5E0C"/>
    <w:rsid w:val="4C813CA1"/>
    <w:rsid w:val="4D1C3E7C"/>
    <w:rsid w:val="4E1221FB"/>
    <w:rsid w:val="4E560AD0"/>
    <w:rsid w:val="4F833C1A"/>
    <w:rsid w:val="4FBE218E"/>
    <w:rsid w:val="50A2699C"/>
    <w:rsid w:val="52B20A82"/>
    <w:rsid w:val="539C26DB"/>
    <w:rsid w:val="56404420"/>
    <w:rsid w:val="59196F5F"/>
    <w:rsid w:val="5FFC2D0E"/>
    <w:rsid w:val="60774D1D"/>
    <w:rsid w:val="62FA7330"/>
    <w:rsid w:val="635028B9"/>
    <w:rsid w:val="63D75934"/>
    <w:rsid w:val="6410048D"/>
    <w:rsid w:val="6411378E"/>
    <w:rsid w:val="65274E58"/>
    <w:rsid w:val="67BF5F1E"/>
    <w:rsid w:val="69E81FB9"/>
    <w:rsid w:val="6A554E4C"/>
    <w:rsid w:val="6A723C50"/>
    <w:rsid w:val="6B4B362A"/>
    <w:rsid w:val="6BBE7B56"/>
    <w:rsid w:val="6C51251D"/>
    <w:rsid w:val="6C7F50EC"/>
    <w:rsid w:val="6D32242B"/>
    <w:rsid w:val="6E4E4092"/>
    <w:rsid w:val="6F9D462E"/>
    <w:rsid w:val="703653BA"/>
    <w:rsid w:val="74E94A1D"/>
    <w:rsid w:val="75421A68"/>
    <w:rsid w:val="76D71AB9"/>
    <w:rsid w:val="79201EEF"/>
    <w:rsid w:val="79B60F87"/>
    <w:rsid w:val="79C44831"/>
    <w:rsid w:val="7B6E5D6D"/>
    <w:rsid w:val="7C030BAC"/>
    <w:rsid w:val="7C10517F"/>
    <w:rsid w:val="7C8376E8"/>
    <w:rsid w:val="7CEC2D4B"/>
    <w:rsid w:val="7D264DCD"/>
    <w:rsid w:val="7D6B7168"/>
    <w:rsid w:val="7DED394B"/>
    <w:rsid w:val="7E3C2506"/>
    <w:rsid w:val="7FD619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qFormat="1" w:uiPriority="0" w:semiHidden="0"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qFormat/>
    <w:uiPriority w:val="99"/>
    <w:pPr>
      <w:keepNext/>
      <w:keepLines/>
      <w:spacing w:before="340" w:after="330" w:line="576" w:lineRule="auto"/>
      <w:ind w:left="429" w:hanging="429" w:hangingChars="134"/>
      <w:jc w:val="center"/>
      <w:outlineLvl w:val="0"/>
    </w:pPr>
    <w:rPr>
      <w:b/>
      <w:kern w:val="44"/>
      <w:sz w:val="32"/>
      <w:szCs w:val="32"/>
    </w:rPr>
  </w:style>
  <w:style w:type="paragraph" w:styleId="3">
    <w:name w:val="heading 4"/>
    <w:basedOn w:val="1"/>
    <w:next w:val="1"/>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oc 7"/>
    <w:next w:val="1"/>
    <w:unhideWhenUsed/>
    <w:qFormat/>
    <w:locked/>
    <w:uiPriority w:val="0"/>
    <w:pPr>
      <w:wordWrap w:val="0"/>
      <w:ind w:left="2550"/>
      <w:jc w:val="both"/>
    </w:pPr>
    <w:rPr>
      <w:rFonts w:ascii="Times New Roman" w:hAnsi="Times New Roman" w:eastAsia="宋体" w:cs="Times New Roman"/>
      <w:sz w:val="21"/>
      <w:lang w:val="en-US" w:eastAsia="zh-CN" w:bidi="ar-SA"/>
    </w:rPr>
  </w:style>
  <w:style w:type="paragraph" w:styleId="5">
    <w:name w:val="Normal Indent"/>
    <w:basedOn w:val="1"/>
    <w:next w:val="1"/>
    <w:qFormat/>
    <w:locked/>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6">
    <w:name w:val="Body Text"/>
    <w:basedOn w:val="1"/>
    <w:qFormat/>
    <w:locked/>
    <w:uiPriority w:val="0"/>
    <w:pPr>
      <w:adjustRightInd w:val="0"/>
      <w:spacing w:line="315" w:lineRule="atLeast"/>
      <w:jc w:val="left"/>
      <w:textAlignment w:val="baseline"/>
    </w:pPr>
    <w:rPr>
      <w:rFonts w:ascii="仿宋_GB2312" w:eastAsia="仿宋_GB2312"/>
      <w:kern w:val="0"/>
      <w:sz w:val="28"/>
      <w:szCs w:val="20"/>
    </w:rPr>
  </w:style>
  <w:style w:type="paragraph" w:styleId="7">
    <w:name w:val="Plain Text"/>
    <w:basedOn w:val="1"/>
    <w:link w:val="18"/>
    <w:qFormat/>
    <w:uiPriority w:val="99"/>
    <w:pPr>
      <w:spacing w:beforeLines="50" w:afterLines="50" w:line="400" w:lineRule="atLeast"/>
    </w:pPr>
    <w:rPr>
      <w:rFonts w:ascii="宋体" w:hAnsi="Courier New"/>
      <w:sz w:val="24"/>
      <w:szCs w:val="24"/>
    </w:rPr>
  </w:style>
  <w:style w:type="paragraph" w:styleId="8">
    <w:name w:val="Balloon Text"/>
    <w:basedOn w:val="1"/>
    <w:link w:val="22"/>
    <w:semiHidden/>
    <w:unhideWhenUsed/>
    <w:qFormat/>
    <w:locked/>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locked/>
    <w:uiPriority w:val="39"/>
    <w:pPr>
      <w:tabs>
        <w:tab w:val="right" w:leader="dot" w:pos="9403"/>
      </w:tabs>
      <w:snapToGrid w:val="0"/>
      <w:spacing w:line="360" w:lineRule="auto"/>
    </w:pPr>
    <w:rPr>
      <w:b/>
      <w:bCs/>
      <w:caps/>
    </w:rPr>
  </w:style>
  <w:style w:type="paragraph" w:styleId="12">
    <w:name w:val="Normal (Web)"/>
    <w:basedOn w:val="1"/>
    <w:qFormat/>
    <w:uiPriority w:val="99"/>
    <w:pPr>
      <w:spacing w:beforeAutospacing="1" w:afterAutospacing="1"/>
      <w:jc w:val="left"/>
    </w:pPr>
    <w:rPr>
      <w:kern w:val="0"/>
      <w:sz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Normal]"/>
    <w:unhideWhenUsed/>
    <w:qFormat/>
    <w:uiPriority w:val="0"/>
    <w:pPr>
      <w:spacing w:beforeLines="0" w:afterLines="0"/>
    </w:pPr>
    <w:rPr>
      <w:rFonts w:hint="eastAsia" w:ascii="宋体" w:hAnsi="宋体" w:eastAsia="宋体" w:cs="Times New Roman"/>
      <w:sz w:val="24"/>
      <w:lang w:val="zh-CN" w:eastAsia="zh-CN"/>
    </w:rPr>
  </w:style>
  <w:style w:type="character" w:customStyle="1" w:styleId="17">
    <w:name w:val="标题 1 Char"/>
    <w:link w:val="2"/>
    <w:qFormat/>
    <w:locked/>
    <w:uiPriority w:val="99"/>
    <w:rPr>
      <w:rFonts w:cs="Times New Roman"/>
      <w:b/>
      <w:bCs/>
      <w:kern w:val="44"/>
      <w:sz w:val="44"/>
      <w:szCs w:val="44"/>
    </w:rPr>
  </w:style>
  <w:style w:type="character" w:customStyle="1" w:styleId="18">
    <w:name w:val="纯文本 Char"/>
    <w:link w:val="7"/>
    <w:semiHidden/>
    <w:qFormat/>
    <w:locked/>
    <w:uiPriority w:val="99"/>
    <w:rPr>
      <w:rFonts w:ascii="宋体" w:hAnsi="Courier New" w:cs="Courier New"/>
      <w:sz w:val="21"/>
      <w:szCs w:val="21"/>
    </w:rPr>
  </w:style>
  <w:style w:type="character" w:customStyle="1" w:styleId="19">
    <w:name w:val="页脚 Char"/>
    <w:link w:val="9"/>
    <w:qFormat/>
    <w:locked/>
    <w:uiPriority w:val="99"/>
    <w:rPr>
      <w:rFonts w:cs="Times New Roman"/>
      <w:kern w:val="2"/>
      <w:sz w:val="18"/>
      <w:szCs w:val="18"/>
    </w:rPr>
  </w:style>
  <w:style w:type="character" w:customStyle="1" w:styleId="20">
    <w:name w:val="页眉 Char"/>
    <w:link w:val="10"/>
    <w:qFormat/>
    <w:locked/>
    <w:uiPriority w:val="99"/>
    <w:rPr>
      <w:rFonts w:cs="Times New Roman"/>
      <w:kern w:val="2"/>
      <w:sz w:val="18"/>
      <w:szCs w:val="18"/>
    </w:rPr>
  </w:style>
  <w:style w:type="character" w:customStyle="1" w:styleId="21">
    <w:name w:val="font11"/>
    <w:qFormat/>
    <w:uiPriority w:val="99"/>
    <w:rPr>
      <w:rFonts w:ascii="宋体" w:hAnsi="宋体" w:eastAsia="宋体" w:cs="宋体"/>
      <w:color w:val="000000"/>
      <w:sz w:val="24"/>
      <w:szCs w:val="24"/>
      <w:u w:val="none"/>
    </w:rPr>
  </w:style>
  <w:style w:type="character" w:customStyle="1" w:styleId="22">
    <w:name w:val="批注框文本 Char"/>
    <w:link w:val="8"/>
    <w:semiHidden/>
    <w:qFormat/>
    <w:uiPriority w:val="99"/>
    <w:rPr>
      <w:kern w:val="2"/>
      <w:sz w:val="18"/>
      <w:szCs w:val="18"/>
    </w:rPr>
  </w:style>
  <w:style w:type="character" w:customStyle="1" w:styleId="23">
    <w:name w:val="font71"/>
    <w:basedOn w:val="15"/>
    <w:qFormat/>
    <w:uiPriority w:val="0"/>
    <w:rPr>
      <w:rFonts w:hint="default" w:ascii="等线" w:hAnsi="等线" w:eastAsia="等线" w:cs="等线"/>
      <w:b/>
      <w:color w:val="000000"/>
      <w:sz w:val="21"/>
      <w:szCs w:val="21"/>
      <w:u w:val="none"/>
    </w:rPr>
  </w:style>
  <w:style w:type="character" w:customStyle="1" w:styleId="24">
    <w:name w:val="font31"/>
    <w:basedOn w:val="15"/>
    <w:qFormat/>
    <w:uiPriority w:val="0"/>
    <w:rPr>
      <w:rFonts w:hint="default" w:ascii="等线" w:hAnsi="等线" w:eastAsia="等线" w:cs="等线"/>
      <w:color w:val="000000"/>
      <w:sz w:val="21"/>
      <w:szCs w:val="21"/>
      <w:u w:val="none"/>
    </w:rPr>
  </w:style>
  <w:style w:type="character" w:customStyle="1" w:styleId="25">
    <w:name w:val="font51"/>
    <w:basedOn w:val="15"/>
    <w:qFormat/>
    <w:uiPriority w:val="0"/>
    <w:rPr>
      <w:rFonts w:hint="eastAsia" w:ascii="宋体" w:hAnsi="宋体" w:eastAsia="宋体" w:cs="宋体"/>
      <w:color w:val="000000"/>
      <w:sz w:val="21"/>
      <w:szCs w:val="21"/>
      <w:u w:val="none"/>
    </w:rPr>
  </w:style>
  <w:style w:type="paragraph" w:customStyle="1" w:styleId="26">
    <w:name w:val="Default"/>
    <w:next w:val="4"/>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5783-9B05-42D7-A232-7AC5D819A66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1946</Words>
  <Characters>1982</Characters>
  <Lines>14</Lines>
  <Paragraphs>4</Paragraphs>
  <TotalTime>2</TotalTime>
  <ScaleCrop>false</ScaleCrop>
  <LinksUpToDate>false</LinksUpToDate>
  <CharactersWithSpaces>2173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2018-03-05T02:14:00Z</dcterms:created>
  <dc:creator>明莱—郭永龙</dc:creator>
  <cp:lastModifiedBy>Lenovo</cp:lastModifiedBy>
  <cp:lastPrinted>2024-03-11T04:38:00Z</cp:lastPrinted>
  <dcterms:modified xsi:type="dcterms:W3CDTF">2025-05-26T06:15:49Z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55981EDEBB7F4BAF96DFA18B1B5FBE2B_13</vt:lpwstr>
  </property>
  <property fmtid="{D5CDD505-2E9C-101B-9397-08002B2CF9AE}" pid="4" name="KSOTemplateDocerSaveRecord">
    <vt:lpwstr>eyJoZGlkIjoiZmNiYjhjMGFjYWM5NDMyMmZlY2Q3OGEwYjYxNTNlYTkifQ==</vt:lpwstr>
  </property>
</Properties>
</file>