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color w:val="auto"/>
          <w:sz w:val="36"/>
          <w:szCs w:val="36"/>
          <w:lang w:val="en-US" w:eastAsia="zh-CN"/>
        </w:rPr>
      </w:pPr>
      <w:bookmarkStart w:id="31" w:name="_GoBack"/>
      <w:r>
        <w:rPr>
          <w:rFonts w:hint="eastAsia" w:ascii="宋体" w:hAnsi="宋体" w:eastAsia="宋体" w:cs="宋体"/>
          <w:b/>
          <w:bCs/>
          <w:color w:val="auto"/>
          <w:sz w:val="36"/>
          <w:szCs w:val="36"/>
        </w:rPr>
        <w:t>浙江</w:t>
      </w:r>
      <w:r>
        <w:rPr>
          <w:rFonts w:hint="eastAsia" w:ascii="宋体" w:hAnsi="宋体" w:eastAsia="宋体" w:cs="宋体"/>
          <w:b/>
          <w:bCs/>
          <w:color w:val="auto"/>
          <w:sz w:val="36"/>
          <w:szCs w:val="36"/>
          <w:lang w:eastAsia="zh-Hans"/>
        </w:rPr>
        <w:t>水利水电学院</w:t>
      </w:r>
      <w:r>
        <w:rPr>
          <w:rFonts w:hint="eastAsia" w:ascii="宋体" w:hAnsi="宋体" w:eastAsia="宋体" w:cs="宋体"/>
          <w:b/>
          <w:bCs/>
          <w:color w:val="auto"/>
          <w:sz w:val="36"/>
          <w:szCs w:val="36"/>
        </w:rPr>
        <w:t>电瓶车智能充电</w:t>
      </w:r>
      <w:r>
        <w:rPr>
          <w:rFonts w:hint="eastAsia" w:ascii="宋体" w:hAnsi="宋体" w:eastAsia="宋体" w:cs="宋体"/>
          <w:b/>
          <w:bCs/>
          <w:color w:val="auto"/>
          <w:sz w:val="36"/>
          <w:szCs w:val="36"/>
          <w:lang w:eastAsia="zh-CN"/>
        </w:rPr>
        <w:t>合作项目</w:t>
      </w:r>
      <w:r>
        <w:rPr>
          <w:rFonts w:hint="eastAsia" w:ascii="宋体" w:hAnsi="宋体" w:eastAsia="宋体" w:cs="宋体"/>
          <w:b/>
          <w:bCs/>
          <w:color w:val="auto"/>
          <w:sz w:val="36"/>
          <w:szCs w:val="36"/>
          <w:lang w:val="en-US" w:eastAsia="zh-CN"/>
        </w:rPr>
        <w:t>技术指标</w:t>
      </w:r>
    </w:p>
    <w:bookmarkEnd w:id="31"/>
    <w:p>
      <w:pPr>
        <w:pStyle w:val="3"/>
        <w:bidi w:val="0"/>
        <w:spacing w:line="360" w:lineRule="auto"/>
        <w:rPr>
          <w:rFonts w:hint="eastAsia" w:ascii="宋体" w:hAnsi="宋体" w:eastAsia="宋体" w:cs="宋体"/>
          <w:color w:val="auto"/>
        </w:rPr>
      </w:pPr>
      <w:r>
        <w:rPr>
          <w:rFonts w:hint="eastAsia" w:ascii="宋体" w:hAnsi="宋体" w:eastAsia="宋体" w:cs="宋体"/>
          <w:color w:val="auto"/>
        </w:rPr>
        <w:t>一、项目介绍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浙江水利水电学院</w:t>
      </w:r>
      <w:r>
        <w:rPr>
          <w:rFonts w:hint="eastAsia" w:ascii="宋体" w:hAnsi="宋体" w:eastAsia="宋体" w:cs="宋体"/>
          <w:i w:val="0"/>
          <w:iCs w:val="0"/>
          <w:caps w:val="0"/>
          <w:color w:val="auto"/>
          <w:spacing w:val="0"/>
          <w:sz w:val="24"/>
          <w:szCs w:val="24"/>
          <w:highlight w:val="none"/>
        </w:rPr>
        <w:t>拥有杭州钱塘、湖州南浔两个校区</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钱塘校区在校师生约1万人；南浔校区在校师生约1.2万人</w:t>
      </w:r>
      <w:r>
        <w:rPr>
          <w:rFonts w:hint="eastAsia" w:ascii="宋体" w:hAnsi="宋体" w:eastAsia="宋体" w:cs="宋体"/>
          <w:i w:val="0"/>
          <w:iCs w:val="0"/>
          <w:caps w:val="0"/>
          <w:color w:val="auto"/>
          <w:spacing w:val="0"/>
          <w:sz w:val="24"/>
          <w:szCs w:val="24"/>
          <w:highlight w:val="none"/>
          <w:lang w:eastAsia="zh-CN"/>
        </w:rPr>
        <w:t>。</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本项目</w:t>
      </w:r>
      <w:r>
        <w:rPr>
          <w:rFonts w:hint="eastAsia" w:ascii="宋体" w:hAnsi="宋体" w:eastAsia="宋体" w:cs="宋体"/>
          <w:b w:val="0"/>
          <w:bCs w:val="0"/>
          <w:color w:val="auto"/>
          <w:sz w:val="24"/>
          <w:highlight w:val="none"/>
        </w:rPr>
        <w:t>为</w:t>
      </w:r>
      <w:r>
        <w:rPr>
          <w:rFonts w:hint="eastAsia" w:ascii="宋体" w:hAnsi="宋体" w:eastAsia="宋体" w:cs="宋体"/>
          <w:b w:val="0"/>
          <w:bCs w:val="0"/>
          <w:color w:val="auto"/>
          <w:sz w:val="24"/>
          <w:highlight w:val="none"/>
          <w:lang w:val="en-US" w:eastAsia="zh-CN"/>
        </w:rPr>
        <w:t>了</w:t>
      </w:r>
      <w:r>
        <w:rPr>
          <w:rFonts w:hint="eastAsia" w:ascii="宋体" w:hAnsi="宋体" w:eastAsia="宋体" w:cs="宋体"/>
          <w:b w:val="0"/>
          <w:bCs w:val="0"/>
          <w:color w:val="auto"/>
          <w:sz w:val="24"/>
          <w:highlight w:val="none"/>
        </w:rPr>
        <w:t>进一步改善学校学生生活设施条件，满足广大师生日常能够及时给电动自行车充电，</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rPr>
        <w:t>校内安装</w:t>
      </w:r>
      <w:r>
        <w:rPr>
          <w:rFonts w:hint="eastAsia" w:ascii="宋体" w:hAnsi="宋体" w:eastAsia="宋体" w:cs="宋体"/>
          <w:b w:val="0"/>
          <w:bCs w:val="0"/>
          <w:color w:val="auto"/>
          <w:sz w:val="24"/>
          <w:highlight w:val="none"/>
          <w:lang w:eastAsia="zh-CN"/>
        </w:rPr>
        <w:t>电瓶车智能</w:t>
      </w:r>
      <w:r>
        <w:rPr>
          <w:rFonts w:hint="eastAsia" w:ascii="宋体" w:hAnsi="宋体" w:eastAsia="宋体" w:cs="宋体"/>
          <w:b w:val="0"/>
          <w:bCs w:val="0"/>
          <w:color w:val="auto"/>
          <w:sz w:val="24"/>
          <w:highlight w:val="none"/>
        </w:rPr>
        <w:t>充电桩</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项目采取</w:t>
      </w:r>
      <w:r>
        <w:rPr>
          <w:rFonts w:hint="eastAsia" w:ascii="宋体" w:hAnsi="宋体" w:eastAsia="宋体" w:cs="宋体"/>
          <w:b w:val="0"/>
          <w:bCs w:val="0"/>
          <w:color w:val="auto"/>
          <w:sz w:val="24"/>
          <w:highlight w:val="none"/>
          <w:lang w:val="en-US" w:eastAsia="zh-Hans"/>
        </w:rPr>
        <w:t>BOT</w:t>
      </w:r>
      <w:r>
        <w:rPr>
          <w:rFonts w:hint="eastAsia" w:ascii="宋体" w:hAnsi="宋体" w:eastAsia="宋体" w:cs="宋体"/>
          <w:b w:val="0"/>
          <w:bCs w:val="0"/>
          <w:color w:val="auto"/>
          <w:sz w:val="24"/>
          <w:highlight w:val="none"/>
        </w:rPr>
        <w:t>建设-经营-移交模式，中标人负责该项目的投资、建设、运营、维护，自主经营、自负盈亏，支持微信</w:t>
      </w:r>
      <w:r>
        <w:rPr>
          <w:rFonts w:hint="eastAsia" w:ascii="宋体" w:hAnsi="宋体" w:eastAsia="宋体" w:cs="宋体"/>
          <w:b w:val="0"/>
          <w:bCs w:val="0"/>
          <w:color w:val="auto"/>
          <w:sz w:val="24"/>
          <w:highlight w:val="none"/>
          <w:lang w:eastAsia="zh-CN"/>
        </w:rPr>
        <w:t>、支付宝</w:t>
      </w:r>
      <w:r>
        <w:rPr>
          <w:rFonts w:hint="eastAsia" w:ascii="宋体" w:hAnsi="宋体" w:eastAsia="宋体" w:cs="宋体"/>
          <w:b w:val="0"/>
          <w:bCs w:val="0"/>
          <w:color w:val="auto"/>
          <w:sz w:val="24"/>
          <w:highlight w:val="none"/>
          <w:lang w:val="en-US" w:eastAsia="zh-Hans"/>
        </w:rPr>
        <w:t>扫码支付充电方式</w:t>
      </w:r>
      <w:r>
        <w:rPr>
          <w:rFonts w:hint="eastAsia" w:ascii="宋体" w:hAnsi="宋体" w:eastAsia="宋体" w:cs="宋体"/>
          <w:b w:val="0"/>
          <w:bCs w:val="0"/>
          <w:color w:val="auto"/>
          <w:sz w:val="24"/>
          <w:highlight w:val="none"/>
        </w:rPr>
        <w:t>；支持按电量、小时、阶梯、起步等收费模式。</w:t>
      </w:r>
    </w:p>
    <w:p>
      <w:pPr>
        <w:pStyle w:val="3"/>
        <w:numPr>
          <w:ilvl w:val="0"/>
          <w:numId w:val="4"/>
        </w:numPr>
        <w:bidi w:val="0"/>
        <w:spacing w:line="360" w:lineRule="auto"/>
        <w:rPr>
          <w:rFonts w:hint="eastAsia" w:ascii="宋体" w:hAnsi="宋体" w:eastAsia="宋体" w:cs="宋体"/>
          <w:color w:val="auto"/>
          <w:lang w:eastAsia="zh-Hans"/>
        </w:rPr>
      </w:pPr>
      <w:r>
        <w:rPr>
          <w:rFonts w:hint="eastAsia" w:ascii="宋体" w:hAnsi="宋体" w:eastAsia="宋体" w:cs="宋体"/>
          <w:color w:val="auto"/>
          <w:lang w:val="en-US" w:eastAsia="zh-CN"/>
        </w:rPr>
        <w:t>充电桩点位及数量</w:t>
      </w:r>
    </w:p>
    <w:p>
      <w:p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两个校区指定点位总计数量300个电瓶车充电桩，其中钱塘校区共100个，南浔校区共200个。在合同期内，如确有需要增加充电桩数量，则根据中标价，按学校要求增设点位。</w:t>
      </w:r>
    </w:p>
    <w:p>
      <w:pPr>
        <w:pStyle w:val="3"/>
        <w:bidi w:val="0"/>
        <w:rPr>
          <w:rFonts w:hint="eastAsia" w:ascii="宋体" w:hAnsi="宋体" w:eastAsia="宋体" w:cs="宋体"/>
          <w:lang w:val="en-US" w:eastAsia="zh-CN"/>
        </w:rPr>
      </w:pPr>
      <w:r>
        <w:rPr>
          <w:rFonts w:hint="eastAsia" w:ascii="宋体" w:hAnsi="宋体" w:eastAsia="宋体" w:cs="宋体"/>
          <w:lang w:eastAsia="zh-CN"/>
        </w:rPr>
        <w:t>三</w:t>
      </w:r>
      <w:r>
        <w:rPr>
          <w:rFonts w:hint="eastAsia" w:ascii="宋体" w:hAnsi="宋体" w:eastAsia="宋体" w:cs="宋体"/>
        </w:rPr>
        <w:t>、合作模式</w:t>
      </w:r>
      <w:r>
        <w:rPr>
          <w:rFonts w:hint="eastAsia" w:ascii="宋体" w:hAnsi="宋体" w:eastAsia="宋体" w:cs="宋体"/>
          <w:lang w:val="en-US" w:eastAsia="zh-CN"/>
        </w:rPr>
        <w:t>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6"/>
          <w:sz w:val="22"/>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Hans"/>
        </w:rPr>
        <w:t>投标人</w:t>
      </w:r>
      <w:r>
        <w:rPr>
          <w:rFonts w:hint="eastAsia" w:ascii="宋体" w:hAnsi="宋体" w:eastAsia="宋体" w:cs="宋体"/>
          <w:color w:val="auto"/>
          <w:sz w:val="24"/>
          <w:szCs w:val="24"/>
        </w:rPr>
        <w:t>负责充电桩项目的全部投资，完成充电桩的改造升级、电源安装、铺装设备等工程，并负责充电桩的日常运行、管理维护、技术支持等；校方负责项目的监管和考核。期满后设备设施产权归</w:t>
      </w:r>
      <w:r>
        <w:rPr>
          <w:rFonts w:hint="eastAsia" w:ascii="宋体" w:hAnsi="宋体" w:eastAsia="宋体" w:cs="宋体"/>
          <w:color w:val="auto"/>
          <w:sz w:val="24"/>
          <w:szCs w:val="24"/>
          <w:lang w:val="en-US" w:eastAsia="zh-Hans"/>
        </w:rPr>
        <w:t>投标人</w:t>
      </w:r>
      <w:r>
        <w:rPr>
          <w:rFonts w:hint="eastAsia" w:ascii="宋体" w:hAnsi="宋体" w:eastAsia="宋体" w:cs="宋体"/>
          <w:color w:val="auto"/>
          <w:sz w:val="24"/>
          <w:szCs w:val="24"/>
        </w:rPr>
        <w:t>所有，固定不可移动的装修及附属安装设施归校方所有。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（二）以项目正常投入运行，</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通过验收后开始计算的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个自然年</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充电收费</w:t>
      </w:r>
      <w:r>
        <w:rPr>
          <w:rFonts w:hint="eastAsia" w:ascii="宋体" w:hAnsi="宋体" w:eastAsia="宋体" w:cs="宋体"/>
          <w:color w:val="auto"/>
          <w:sz w:val="24"/>
          <w:szCs w:val="24"/>
          <w:lang w:val="en-US" w:eastAsia="zh-CN"/>
        </w:rPr>
        <w:t>1元/4小时，按实际充电时间计算，中断不计费。充电口</w:t>
      </w:r>
      <w:r>
        <w:rPr>
          <w:rFonts w:hint="eastAsia" w:ascii="宋体" w:hAnsi="宋体" w:eastAsia="宋体" w:cs="宋体"/>
          <w:color w:val="auto"/>
          <w:sz w:val="24"/>
          <w:szCs w:val="24"/>
        </w:rPr>
        <w:t>经营收入</w:t>
      </w:r>
      <w:r>
        <w:rPr>
          <w:rFonts w:hint="eastAsia" w:ascii="宋体" w:hAnsi="宋体" w:eastAsia="宋体" w:cs="宋体"/>
          <w:color w:val="auto"/>
          <w:sz w:val="24"/>
          <w:szCs w:val="24"/>
          <w:lang w:eastAsia="zh-CN"/>
        </w:rPr>
        <w:t>归中标人所有；</w:t>
      </w:r>
      <w:r>
        <w:rPr>
          <w:rFonts w:hint="eastAsia" w:ascii="宋体" w:hAnsi="宋体" w:eastAsia="宋体" w:cs="宋体"/>
          <w:color w:val="auto"/>
          <w:sz w:val="24"/>
          <w:szCs w:val="24"/>
        </w:rPr>
        <w:t>运营中产生的电费用由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承担，</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定期向学校缴纳电费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电费按照0.538元/度缴纳。</w:t>
      </w:r>
    </w:p>
    <w:p>
      <w:pPr>
        <w:snapToGrid w:val="0"/>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四</w:t>
      </w:r>
      <w:r>
        <w:rPr>
          <w:rFonts w:hint="eastAsia" w:ascii="宋体" w:hAnsi="宋体" w:eastAsia="宋体" w:cs="宋体"/>
          <w:b w:val="0"/>
          <w:bCs w:val="0"/>
          <w:color w:val="auto"/>
          <w:kern w:val="0"/>
          <w:sz w:val="24"/>
          <w:highlight w:val="none"/>
        </w:rPr>
        <w:t>）运营公司在本校区须配备不少1名以上驻点维修服务人员（需具有健康证），以保证维修的及时性。运营公司运行后的服务质量，如卫生、安全、维修及时度等，由学校进行考核。若出现违背合同的情况发生，经限期整改无法达到招标要求的，则校方有权单方面终止合同。</w:t>
      </w:r>
    </w:p>
    <w:p>
      <w:pPr>
        <w:snapToGrid w:val="0"/>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五</w:t>
      </w:r>
      <w:r>
        <w:rPr>
          <w:rFonts w:hint="eastAsia" w:ascii="宋体" w:hAnsi="宋体" w:eastAsia="宋体" w:cs="宋体"/>
          <w:b w:val="0"/>
          <w:bCs w:val="0"/>
          <w:color w:val="auto"/>
          <w:kern w:val="0"/>
          <w:sz w:val="24"/>
          <w:highlight w:val="none"/>
        </w:rPr>
        <w:t>）安全提示、注意事项、维修电话、投诉电话、使用说明、供应时间、收费标准等注意事项，项目运营商应负责制作图板并挂在充电点的醒目位置。</w:t>
      </w:r>
    </w:p>
    <w:p>
      <w:pPr>
        <w:pStyle w:val="18"/>
        <w:spacing w:before="156" w:beforeLines="50" w:line="360" w:lineRule="auto"/>
        <w:ind w:firstLine="456"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w:t>
      </w:r>
      <w:r>
        <w:rPr>
          <w:rFonts w:hint="eastAsia" w:ascii="宋体" w:hAnsi="宋体" w:cs="宋体"/>
          <w:b w:val="0"/>
          <w:bCs w:val="0"/>
          <w:color w:val="auto"/>
          <w:kern w:val="0"/>
          <w:sz w:val="24"/>
          <w:highlight w:val="none"/>
          <w:lang w:val="en-US" w:eastAsia="zh-CN"/>
        </w:rPr>
        <w:t>六</w:t>
      </w:r>
      <w:r>
        <w:rPr>
          <w:rFonts w:hint="eastAsia" w:ascii="宋体" w:hAnsi="宋体" w:eastAsia="宋体" w:cs="宋体"/>
          <w:b w:val="0"/>
          <w:bCs w:val="0"/>
          <w:color w:val="auto"/>
          <w:kern w:val="0"/>
          <w:sz w:val="24"/>
          <w:highlight w:val="none"/>
        </w:rPr>
        <w:t>）其他未尽事宜由供需双方在采购合同中详细约定。</w:t>
      </w:r>
    </w:p>
    <w:p>
      <w:pPr>
        <w:pStyle w:val="3"/>
        <w:bidi w:val="0"/>
        <w:spacing w:line="360" w:lineRule="auto"/>
        <w:rPr>
          <w:rFonts w:hint="eastAsia" w:ascii="宋体" w:hAnsi="宋体" w:eastAsia="宋体" w:cs="宋体"/>
          <w:color w:val="auto"/>
          <w:lang w:eastAsia="zh-CN"/>
        </w:rPr>
      </w:pPr>
      <w:r>
        <w:rPr>
          <w:rFonts w:hint="eastAsia" w:ascii="宋体" w:hAnsi="宋体" w:eastAsia="宋体" w:cs="宋体"/>
          <w:color w:val="auto"/>
          <w:lang w:eastAsia="zh-CN"/>
        </w:rPr>
        <w:t>四、项目合作方确认</w:t>
      </w:r>
    </w:p>
    <w:p>
      <w:pPr>
        <w:spacing w:line="360" w:lineRule="auto"/>
        <w:ind w:firstLine="480" w:firstLineChars="200"/>
        <w:rPr>
          <w:rFonts w:hint="default" w:ascii="宋体" w:hAnsi="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eastAsia="zh-CN"/>
        </w:rPr>
        <w:t>按每个充电口不低于</w:t>
      </w:r>
      <w:r>
        <w:rPr>
          <w:rFonts w:hint="eastAsia" w:ascii="宋体" w:hAnsi="宋体" w:eastAsia="宋体" w:cs="宋体"/>
          <w:b w:val="0"/>
          <w:bCs w:val="0"/>
          <w:color w:val="auto"/>
          <w:kern w:val="0"/>
          <w:sz w:val="24"/>
          <w:highlight w:val="none"/>
          <w:lang w:val="en-US" w:eastAsia="zh-CN"/>
        </w:rPr>
        <w:t>15元/个/年管理费起投，总数300个，价高的投标者中。</w:t>
      </w:r>
      <w:r>
        <w:rPr>
          <w:rFonts w:hint="eastAsia" w:ascii="宋体" w:hAnsi="宋体" w:eastAsia="宋体" w:cs="宋体"/>
          <w:b w:val="0"/>
          <w:bCs w:val="0"/>
          <w:color w:val="auto"/>
          <w:sz w:val="24"/>
          <w:highlight w:val="none"/>
        </w:rPr>
        <w:t>中标人负责该项目的投资、建设、运营、维护，自主经营、自负盈亏，支持微信</w:t>
      </w:r>
      <w:r>
        <w:rPr>
          <w:rFonts w:hint="eastAsia" w:ascii="宋体" w:hAnsi="宋体" w:eastAsia="宋体" w:cs="宋体"/>
          <w:b w:val="0"/>
          <w:bCs w:val="0"/>
          <w:color w:val="auto"/>
          <w:sz w:val="24"/>
          <w:highlight w:val="none"/>
          <w:lang w:eastAsia="zh-CN"/>
        </w:rPr>
        <w:t>、支付宝</w:t>
      </w:r>
      <w:r>
        <w:rPr>
          <w:rFonts w:hint="eastAsia" w:ascii="宋体" w:hAnsi="宋体" w:eastAsia="宋体" w:cs="宋体"/>
          <w:b w:val="0"/>
          <w:bCs w:val="0"/>
          <w:color w:val="auto"/>
          <w:sz w:val="24"/>
          <w:highlight w:val="none"/>
          <w:lang w:val="en-US" w:eastAsia="zh-Hans"/>
        </w:rPr>
        <w:t>扫码支付充电方式</w:t>
      </w:r>
      <w:r>
        <w:rPr>
          <w:rFonts w:hint="eastAsia" w:ascii="宋体" w:hAnsi="宋体" w:eastAsia="宋体" w:cs="宋体"/>
          <w:b w:val="0"/>
          <w:bCs w:val="0"/>
          <w:color w:val="auto"/>
          <w:sz w:val="24"/>
          <w:highlight w:val="none"/>
        </w:rPr>
        <w:t>；支持按电量、小时、阶梯、起步等收费模式。</w:t>
      </w:r>
      <w:r>
        <w:rPr>
          <w:rFonts w:hint="eastAsia" w:ascii="宋体" w:hAnsi="宋体" w:eastAsia="宋体" w:cs="宋体"/>
          <w:b w:val="0"/>
          <w:bCs w:val="0"/>
          <w:color w:val="auto"/>
          <w:kern w:val="0"/>
          <w:sz w:val="24"/>
          <w:highlight w:val="none"/>
          <w:lang w:val="en-US" w:eastAsia="zh-CN"/>
        </w:rPr>
        <w:t>充电口需满足下方技术要求。</w:t>
      </w:r>
    </w:p>
    <w:tbl>
      <w:tblPr>
        <w:tblStyle w:val="15"/>
        <w:tblpPr w:leftFromText="180" w:rightFromText="180" w:vertAnchor="text" w:horzAnchor="page" w:tblpX="2115" w:tblpY="373"/>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621"/>
        <w:gridCol w:w="1304"/>
        <w:gridCol w:w="246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25" w:type="dxa"/>
            <w:vMerge w:val="restart"/>
            <w:shd w:val="clear" w:color="auto" w:fill="auto"/>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合作经营管理费</w:t>
            </w:r>
          </w:p>
        </w:tc>
        <w:tc>
          <w:tcPr>
            <w:tcW w:w="1621" w:type="dxa"/>
            <w:shd w:val="clear" w:color="auto" w:fill="auto"/>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充电口（个）</w:t>
            </w:r>
          </w:p>
        </w:tc>
        <w:tc>
          <w:tcPr>
            <w:tcW w:w="1304" w:type="dxa"/>
            <w:shd w:val="clear" w:color="auto" w:fill="auto"/>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年数</w:t>
            </w:r>
          </w:p>
        </w:tc>
        <w:tc>
          <w:tcPr>
            <w:tcW w:w="2460" w:type="dxa"/>
            <w:shd w:val="clear" w:color="auto" w:fill="auto"/>
            <w:vAlign w:val="center"/>
          </w:tcPr>
          <w:p>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预算</w:t>
            </w:r>
            <w:r>
              <w:rPr>
                <w:rFonts w:hint="eastAsia" w:ascii="宋体" w:hAnsi="宋体" w:eastAsia="宋体" w:cs="宋体"/>
                <w:color w:val="auto"/>
                <w:sz w:val="24"/>
                <w:szCs w:val="24"/>
                <w:highlight w:val="yellow"/>
              </w:rPr>
              <w:t>管理费</w:t>
            </w:r>
            <w:r>
              <w:rPr>
                <w:rFonts w:hint="eastAsia" w:ascii="宋体" w:hAnsi="宋体" w:eastAsia="宋体" w:cs="宋体"/>
                <w:color w:val="auto"/>
                <w:sz w:val="24"/>
                <w:szCs w:val="24"/>
                <w:highlight w:val="yellow"/>
                <w:lang w:eastAsia="zh-CN"/>
              </w:rPr>
              <w:t>（元</w:t>
            </w:r>
            <w:r>
              <w:rPr>
                <w:rFonts w:hint="eastAsia" w:ascii="宋体" w:hAnsi="宋体" w:eastAsia="宋体" w:cs="宋体"/>
                <w:color w:val="auto"/>
                <w:sz w:val="24"/>
                <w:szCs w:val="24"/>
                <w:highlight w:val="yellow"/>
                <w:lang w:val="en-US" w:eastAsia="zh-CN"/>
              </w:rPr>
              <w:t>/年</w:t>
            </w:r>
            <w:r>
              <w:rPr>
                <w:rFonts w:hint="eastAsia" w:ascii="宋体" w:hAnsi="宋体" w:eastAsia="宋体" w:cs="宋体"/>
                <w:color w:val="auto"/>
                <w:sz w:val="24"/>
                <w:szCs w:val="24"/>
                <w:highlight w:val="yellow"/>
                <w:lang w:eastAsia="zh-CN"/>
              </w:rPr>
              <w:t>）</w:t>
            </w:r>
          </w:p>
        </w:tc>
        <w:tc>
          <w:tcPr>
            <w:tcW w:w="1665" w:type="dxa"/>
            <w:shd w:val="clear" w:color="auto" w:fill="auto"/>
            <w:vAlign w:val="center"/>
          </w:tcPr>
          <w:p>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预算合计（元）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25" w:type="dxa"/>
            <w:vMerge w:val="continue"/>
            <w:vAlign w:val="center"/>
          </w:tcPr>
          <w:p>
            <w:pPr>
              <w:spacing w:line="360" w:lineRule="auto"/>
              <w:jc w:val="center"/>
              <w:rPr>
                <w:rFonts w:hint="eastAsia" w:ascii="宋体" w:hAnsi="宋体" w:eastAsia="宋体" w:cs="宋体"/>
                <w:color w:val="auto"/>
                <w:sz w:val="24"/>
                <w:szCs w:val="24"/>
                <w:lang w:val="en-US" w:eastAsia="zh-CN"/>
              </w:rPr>
            </w:pPr>
          </w:p>
        </w:tc>
        <w:tc>
          <w:tcPr>
            <w:tcW w:w="1621"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c>
          <w:tcPr>
            <w:tcW w:w="130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460" w:type="dxa"/>
            <w:vAlign w:val="center"/>
          </w:tcPr>
          <w:p>
            <w:pPr>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15</w:t>
            </w:r>
          </w:p>
        </w:tc>
        <w:tc>
          <w:tcPr>
            <w:tcW w:w="1665" w:type="dxa"/>
            <w:vAlign w:val="center"/>
          </w:tcPr>
          <w:p>
            <w:pPr>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22500</w:t>
            </w:r>
          </w:p>
        </w:tc>
      </w:tr>
    </w:tbl>
    <w:p>
      <w:pPr>
        <w:pStyle w:val="3"/>
        <w:bidi w:val="0"/>
        <w:spacing w:line="360" w:lineRule="auto"/>
        <w:rPr>
          <w:rFonts w:hint="eastAsia" w:ascii="宋体" w:hAnsi="宋体" w:eastAsia="宋体" w:cs="宋体"/>
          <w:color w:val="auto"/>
        </w:rPr>
      </w:pPr>
      <w:r>
        <w:rPr>
          <w:rFonts w:hint="eastAsia" w:ascii="宋体" w:hAnsi="宋体" w:eastAsia="宋体" w:cs="宋体"/>
          <w:color w:val="auto"/>
          <w:lang w:eastAsia="zh-CN"/>
        </w:rPr>
        <w:t>五</w:t>
      </w:r>
      <w:r>
        <w:rPr>
          <w:rFonts w:hint="eastAsia" w:ascii="宋体" w:hAnsi="宋体" w:eastAsia="宋体" w:cs="宋体"/>
          <w:color w:val="auto"/>
        </w:rPr>
        <w:t>、</w:t>
      </w:r>
      <w:r>
        <w:rPr>
          <w:rFonts w:hint="eastAsia" w:ascii="宋体" w:hAnsi="宋体" w:eastAsia="宋体" w:cs="宋体"/>
          <w:color w:val="auto"/>
          <w:lang w:val="en-US" w:eastAsia="zh-CN"/>
        </w:rPr>
        <w:t>技术</w:t>
      </w:r>
      <w:r>
        <w:rPr>
          <w:rFonts w:hint="eastAsia" w:ascii="宋体" w:hAnsi="宋体" w:eastAsia="宋体" w:cs="宋体"/>
          <w:color w:val="auto"/>
        </w:rPr>
        <w:t>要求</w:t>
      </w:r>
    </w:p>
    <w:p>
      <w:pPr>
        <w:pStyle w:val="2"/>
        <w:numPr>
          <w:ilvl w:val="0"/>
          <w:numId w:val="0"/>
        </w:numPr>
        <w:bidi w:val="0"/>
        <w:spacing w:line="360" w:lineRule="auto"/>
        <w:rPr>
          <w:rFonts w:hint="eastAsia" w:ascii="宋体" w:hAnsi="宋体" w:eastAsia="宋体" w:cs="宋体"/>
          <w:color w:val="auto"/>
        </w:rPr>
      </w:pPr>
      <w:r>
        <w:rPr>
          <w:rFonts w:hint="eastAsia" w:ascii="宋体" w:hAnsi="宋体" w:eastAsia="宋体" w:cs="宋体"/>
          <w:color w:val="auto"/>
          <w:lang w:val="en-US" w:eastAsia="zh-CN"/>
        </w:rPr>
        <w:t>5.1</w:t>
      </w:r>
      <w:r>
        <w:rPr>
          <w:rFonts w:hint="eastAsia" w:ascii="宋体" w:hAnsi="宋体" w:eastAsia="宋体" w:cs="宋体"/>
          <w:color w:val="auto"/>
        </w:rPr>
        <w:t>技术要求</w:t>
      </w:r>
      <w:r>
        <w:rPr>
          <w:rFonts w:hint="eastAsia" w:ascii="宋体" w:hAnsi="宋体" w:eastAsia="宋体" w:cs="宋体"/>
          <w:color w:val="auto"/>
          <w:lang w:eastAsia="zh-Hans"/>
        </w:rPr>
        <w:t>（</w:t>
      </w:r>
      <w:r>
        <w:rPr>
          <w:rFonts w:hint="eastAsia" w:ascii="宋体" w:hAnsi="宋体" w:eastAsia="宋体" w:cs="宋体"/>
          <w:color w:val="auto"/>
          <w:lang w:val="en-US" w:eastAsia="zh-Hans"/>
        </w:rPr>
        <w:t>标星为基本要求，不满足</w:t>
      </w:r>
      <w:r>
        <w:rPr>
          <w:rFonts w:hint="eastAsia" w:ascii="宋体" w:hAnsi="宋体" w:eastAsia="宋体" w:cs="宋体"/>
          <w:color w:val="auto"/>
          <w:lang w:val="en-US" w:eastAsia="zh-CN"/>
        </w:rPr>
        <w:t>作</w:t>
      </w:r>
      <w:r>
        <w:rPr>
          <w:rFonts w:hint="eastAsia" w:ascii="宋体" w:hAnsi="宋体" w:eastAsia="宋体" w:cs="宋体"/>
          <w:color w:val="auto"/>
          <w:lang w:val="en-US" w:eastAsia="zh-Hans"/>
        </w:rPr>
        <w:t>废标</w:t>
      </w:r>
      <w:r>
        <w:rPr>
          <w:rFonts w:hint="eastAsia" w:ascii="宋体" w:hAnsi="宋体" w:eastAsia="宋体" w:cs="宋体"/>
          <w:color w:val="auto"/>
          <w:lang w:val="en-US" w:eastAsia="zh-CN"/>
        </w:rPr>
        <w:t>处理</w:t>
      </w:r>
      <w:r>
        <w:rPr>
          <w:rFonts w:hint="eastAsia" w:ascii="宋体" w:hAnsi="宋体" w:eastAsia="宋体" w:cs="宋体"/>
          <w:color w:val="auto"/>
          <w:lang w:val="en-US" w:eastAsia="zh-Hans"/>
        </w:rPr>
        <w:t>）</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输入耐压380V，具备输出过压保护功能，超过264V触发过压保护机制，保护用户充电设备。（提供功能演示视频,采用视频动画方式表达，视频长度不超过10分钟，由投标人在技术标中提供U盘（光盘）等媒介工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★设备具备</w:t>
      </w:r>
      <w:r>
        <w:rPr>
          <w:rFonts w:hint="eastAsia" w:ascii="宋体" w:hAnsi="宋体" w:eastAsia="宋体" w:cs="宋体"/>
          <w:color w:val="auto"/>
          <w:sz w:val="24"/>
          <w:szCs w:val="24"/>
          <w:highlight w:val="none"/>
          <w:lang w:val="en-US" w:eastAsia="zh-CN"/>
        </w:rPr>
        <w:t>防雨罩的防水设计，防尘防水等级：IP55及以上，提供防水防尘第三方测试报告，提供第三方测试报告复印件并加盖</w:t>
      </w:r>
      <w:r>
        <w:rPr>
          <w:rFonts w:hint="eastAsia" w:ascii="宋体" w:hAnsi="宋体" w:eastAsia="宋体" w:cs="宋体"/>
          <w:color w:val="auto"/>
          <w:sz w:val="24"/>
          <w:szCs w:val="24"/>
          <w:highlight w:val="none"/>
          <w:lang w:val="en-US" w:eastAsia="zh-Hans"/>
        </w:rPr>
        <w:t>生产厂家</w:t>
      </w:r>
      <w:r>
        <w:rPr>
          <w:rFonts w:hint="eastAsia" w:ascii="宋体" w:hAnsi="宋体" w:eastAsia="宋体" w:cs="宋体"/>
          <w:color w:val="auto"/>
          <w:sz w:val="24"/>
          <w:szCs w:val="24"/>
          <w:highlight w:val="none"/>
          <w:lang w:val="en-US" w:eastAsia="zh-CN"/>
        </w:rPr>
        <w:t>公章。</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★设备外壳材料达到V0级阻燃防火。需提供材料成分表证明，提供证明材料复印件并加盖</w:t>
      </w:r>
      <w:r>
        <w:rPr>
          <w:rFonts w:hint="eastAsia" w:ascii="宋体" w:hAnsi="宋体" w:eastAsia="宋体" w:cs="宋体"/>
          <w:color w:val="auto"/>
          <w:sz w:val="24"/>
          <w:szCs w:val="24"/>
          <w:highlight w:val="none"/>
          <w:lang w:val="en-US" w:eastAsia="zh-Hans"/>
        </w:rPr>
        <w:t>生产厂家</w:t>
      </w:r>
      <w:r>
        <w:rPr>
          <w:rFonts w:hint="eastAsia" w:ascii="宋体" w:hAnsi="宋体" w:eastAsia="宋体" w:cs="宋体"/>
          <w:color w:val="auto"/>
          <w:sz w:val="24"/>
          <w:szCs w:val="24"/>
          <w:highlight w:val="none"/>
          <w:lang w:val="en-US" w:eastAsia="zh-CN"/>
        </w:rPr>
        <w:t>公章</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★设备模块化设计，采用新国标五孔PTU支持二、三插头使用（插孔没有小耳朵），具有儿童专用保护门，插孔铜片采用磷青铜材质，PTU具有CCC证书，提供CCC证书复印件并加盖供应商公章；</w:t>
      </w:r>
    </w:p>
    <w:p>
      <w:pPr>
        <w:snapToGrid w:val="0"/>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投标人提供生产厂家针对本项目的授权书</w:t>
      </w:r>
      <w:r>
        <w:rPr>
          <w:rFonts w:hint="eastAsia" w:ascii="宋体" w:hAnsi="宋体" w:eastAsia="宋体" w:cs="宋体"/>
          <w:color w:val="auto"/>
          <w:sz w:val="24"/>
          <w:szCs w:val="24"/>
          <w:lang w:val="en-US" w:eastAsia="zh-CN"/>
        </w:rPr>
        <w:t>。</w:t>
      </w:r>
    </w:p>
    <w:p>
      <w:pPr>
        <w:pStyle w:val="4"/>
        <w:bidi w:val="0"/>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5.1.1.</w:t>
      </w:r>
      <w:r>
        <w:rPr>
          <w:rFonts w:hint="eastAsia" w:ascii="宋体" w:hAnsi="宋体" w:eastAsia="宋体" w:cs="宋体"/>
          <w:color w:val="auto"/>
          <w:lang w:val="en-US"/>
        </w:rPr>
        <w:t>双口插座型无线智能网关</w:t>
      </w:r>
      <w:r>
        <w:rPr>
          <w:rFonts w:hint="eastAsia" w:ascii="宋体" w:hAnsi="宋体" w:eastAsia="宋体" w:cs="宋体"/>
          <w:color w:val="auto"/>
          <w:lang w:val="en-US" w:eastAsia="zh-CN"/>
        </w:rPr>
        <w:t>技术参数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52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00"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w:t>
            </w:r>
          </w:p>
        </w:tc>
        <w:tc>
          <w:tcPr>
            <w:tcW w:w="7302"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工作环境</w:t>
            </w:r>
          </w:p>
        </w:tc>
        <w:tc>
          <w:tcPr>
            <w:tcW w:w="7302" w:type="dxa"/>
            <w:noWrap w:val="0"/>
            <w:vAlign w:val="center"/>
          </w:tcPr>
          <w:p>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1.使用场地：</w:t>
            </w:r>
            <w:r>
              <w:rPr>
                <w:rFonts w:hint="eastAsia" w:ascii="宋体" w:hAnsi="宋体" w:eastAsia="宋体" w:cs="宋体"/>
                <w:color w:val="auto"/>
                <w:sz w:val="21"/>
                <w:szCs w:val="21"/>
                <w:lang w:val="en-US"/>
              </w:rPr>
              <w:t>室内、室外</w:t>
            </w:r>
          </w:p>
          <w:p>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工作温度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-20～60℃</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工作湿度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小于 90%不凝露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电源输入要求</w:t>
            </w:r>
          </w:p>
        </w:tc>
        <w:tc>
          <w:tcPr>
            <w:tcW w:w="7302" w:type="dxa"/>
            <w:noWrap w:val="0"/>
            <w:vAlign w:val="center"/>
          </w:tcPr>
          <w:p>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1.输入电压：</w:t>
            </w:r>
            <w:r>
              <w:rPr>
                <w:rFonts w:hint="eastAsia" w:ascii="宋体" w:hAnsi="宋体" w:eastAsia="宋体" w:cs="宋体"/>
                <w:color w:val="auto"/>
                <w:sz w:val="21"/>
                <w:szCs w:val="21"/>
                <w:lang w:val="en-US"/>
              </w:rPr>
              <w:t>AC220V±10% 50Hz</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电线接驳要求</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 xml:space="preserve">接地电阻小于 100mΩ </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待机功耗</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小于 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电源输出规格</w:t>
            </w:r>
          </w:p>
        </w:tc>
        <w:tc>
          <w:tcPr>
            <w:tcW w:w="7302" w:type="dxa"/>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1.最大输出功率：单路最大输出功率为2200W</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2.最大输出电流：单路最大输出电流为10A</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3.输出口数：双口输出，独立控制</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4.电能计量：每个充电口独立计量，计量精度达到二级（含）以上标准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4</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组网方式</w:t>
            </w:r>
          </w:p>
        </w:tc>
        <w:tc>
          <w:tcPr>
            <w:tcW w:w="7302" w:type="dxa"/>
            <w:noWrap w:val="0"/>
            <w:vAlign w:val="center"/>
          </w:tcPr>
          <w:p>
            <w:pPr>
              <w:pStyle w:val="6"/>
              <w:spacing w:line="360" w:lineRule="auto"/>
              <w:ind w:firstLine="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1.组网模式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r>
              <w:rPr>
                <w:rFonts w:hint="eastAsia" w:ascii="宋体" w:hAnsi="宋体" w:eastAsia="宋体" w:cs="宋体"/>
                <w:color w:val="auto"/>
                <w:sz w:val="21"/>
                <w:szCs w:val="21"/>
              </w:rPr>
              <w:t>无线2.45G</w:t>
            </w:r>
            <w:r>
              <w:rPr>
                <w:rFonts w:hint="eastAsia" w:ascii="宋体" w:hAnsi="宋体" w:eastAsia="宋体" w:cs="宋体"/>
                <w:color w:val="auto"/>
                <w:sz w:val="21"/>
                <w:szCs w:val="21"/>
                <w:lang w:val="en-US" w:eastAsia="zh-CN"/>
              </w:rPr>
              <w:t>组网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支持无线470Mhz组网</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网关</w:t>
            </w:r>
            <w:r>
              <w:rPr>
                <w:rFonts w:hint="eastAsia" w:ascii="宋体" w:hAnsi="宋体" w:eastAsia="宋体" w:cs="宋体"/>
                <w:color w:val="auto"/>
                <w:sz w:val="21"/>
                <w:szCs w:val="21"/>
                <w:lang w:val="en-US" w:eastAsia="zh-CN"/>
              </w:rPr>
              <w:t>上行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支持4G网络</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组网规模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bidi="zh-CN"/>
              </w:rPr>
              <w:t>支持0~25</w:t>
            </w:r>
            <w:r>
              <w:rPr>
                <w:rFonts w:hint="eastAsia" w:ascii="宋体" w:hAnsi="宋体" w:eastAsia="宋体" w:cs="宋体"/>
                <w:color w:val="auto"/>
                <w:sz w:val="21"/>
                <w:szCs w:val="21"/>
                <w:lang w:val="zh-CN" w:eastAsia="zh-CN" w:bidi="zh-CN"/>
              </w:rPr>
              <w:t>个插座/</w:t>
            </w:r>
            <w:r>
              <w:rPr>
                <w:rFonts w:hint="eastAsia" w:ascii="宋体" w:hAnsi="宋体" w:eastAsia="宋体" w:cs="宋体"/>
                <w:color w:val="auto"/>
                <w:sz w:val="21"/>
                <w:szCs w:val="21"/>
                <w:lang w:val="en-US" w:eastAsia="zh-CN" w:bidi="zh-CN"/>
              </w:rPr>
              <w:t>0~50</w:t>
            </w:r>
            <w:r>
              <w:rPr>
                <w:rFonts w:hint="eastAsia" w:ascii="宋体" w:hAnsi="宋体" w:eastAsia="宋体" w:cs="宋体"/>
                <w:color w:val="auto"/>
                <w:sz w:val="21"/>
                <w:szCs w:val="21"/>
                <w:lang w:val="zh-CN" w:eastAsia="zh-CN" w:bidi="zh-CN"/>
              </w:rPr>
              <w:t>个充电口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bottom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800" w:type="dxa"/>
            <w:tcBorders>
              <w:bottom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插座外观</w:t>
            </w:r>
          </w:p>
        </w:tc>
        <w:tc>
          <w:tcPr>
            <w:tcW w:w="7302" w:type="dxa"/>
            <w:tcBorders>
              <w:bottom w:val="single" w:color="auto" w:sz="4" w:space="0"/>
            </w:tcBorders>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1.防爆等级：≥IK09；</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2.规格尺寸：约130mm*120mm*60mm</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3.防尘防水：≥IP55；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安全性</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过载保护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过压保护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欠压保护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过流保护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过温保护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计费模式</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支持</w:t>
            </w:r>
            <w:r>
              <w:rPr>
                <w:rFonts w:hint="eastAsia" w:ascii="宋体" w:hAnsi="宋体" w:eastAsia="宋体" w:cs="宋体"/>
                <w:color w:val="auto"/>
                <w:sz w:val="21"/>
                <w:szCs w:val="21"/>
              </w:rPr>
              <w:t>多种计费模式</w:t>
            </w:r>
            <w:r>
              <w:rPr>
                <w:rFonts w:hint="eastAsia" w:ascii="宋体" w:hAnsi="宋体" w:eastAsia="宋体" w:cs="宋体"/>
                <w:color w:val="auto"/>
                <w:sz w:val="21"/>
                <w:szCs w:val="21"/>
                <w:lang w:eastAsia="zh-CN"/>
              </w:rPr>
              <w:t>，</w:t>
            </w:r>
          </w:p>
          <w:p>
            <w:pPr>
              <w:pStyle w:val="6"/>
              <w:spacing w:line="360" w:lineRule="auto"/>
              <w:ind w:left="0" w:leftChars="0" w:firstLine="0" w:firstLineChars="0"/>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可</w:t>
            </w:r>
            <w:r>
              <w:rPr>
                <w:rFonts w:hint="eastAsia" w:ascii="宋体" w:hAnsi="宋体" w:eastAsia="宋体" w:cs="宋体"/>
                <w:color w:val="auto"/>
                <w:w w:val="100"/>
                <w:sz w:val="21"/>
                <w:szCs w:val="21"/>
                <w:lang w:val="en-US"/>
              </w:rPr>
              <w:t>按时/按功率/按电量/包月/白名单等方式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机交互</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双色</w:t>
            </w:r>
            <w:r>
              <w:rPr>
                <w:rFonts w:hint="eastAsia" w:ascii="宋体" w:hAnsi="宋体" w:eastAsia="宋体" w:cs="宋体"/>
                <w:color w:val="auto"/>
                <w:spacing w:val="-50"/>
                <w:sz w:val="21"/>
                <w:szCs w:val="21"/>
              </w:rPr>
              <w:t xml:space="preserve"> </w:t>
            </w:r>
            <w:r>
              <w:rPr>
                <w:rFonts w:hint="eastAsia" w:ascii="宋体" w:hAnsi="宋体" w:eastAsia="宋体" w:cs="宋体"/>
                <w:color w:val="auto"/>
                <w:sz w:val="21"/>
                <w:szCs w:val="21"/>
              </w:rPr>
              <w:t>LED</w:t>
            </w:r>
            <w:r>
              <w:rPr>
                <w:rFonts w:hint="eastAsia" w:ascii="宋体" w:hAnsi="宋体" w:eastAsia="宋体" w:cs="宋体"/>
                <w:color w:val="auto"/>
                <w:spacing w:val="-54"/>
                <w:sz w:val="21"/>
                <w:szCs w:val="21"/>
              </w:rPr>
              <w:t xml:space="preserve"> </w:t>
            </w:r>
            <w:r>
              <w:rPr>
                <w:rFonts w:hint="eastAsia" w:ascii="宋体" w:hAnsi="宋体" w:eastAsia="宋体" w:cs="宋体"/>
                <w:color w:val="auto"/>
                <w:sz w:val="21"/>
                <w:szCs w:val="21"/>
              </w:rPr>
              <w:t>灯</w:t>
            </w:r>
          </w:p>
          <w:p>
            <w:pPr>
              <w:pStyle w:val="6"/>
              <w:spacing w:line="360" w:lineRule="auto"/>
              <w:ind w:left="0" w:leftChars="0" w:firstLine="0" w:firstLineChars="0"/>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支持语音播报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用户使用</w:t>
            </w:r>
          </w:p>
        </w:tc>
        <w:tc>
          <w:tcPr>
            <w:tcW w:w="73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1.扫码充电：单个二维码支持扫码开启左右两个插口，支持微信、支付宝扫码充电，支持电子钱包</w:t>
            </w:r>
          </w:p>
          <w:p>
            <w:p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.微信扫码充值</w:t>
            </w:r>
          </w:p>
        </w:tc>
      </w:tr>
    </w:tbl>
    <w:p>
      <w:pPr>
        <w:pStyle w:val="4"/>
        <w:bidi w:val="0"/>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5.1.2.两路智能充电桩技术参数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518"/>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00"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w:t>
            </w:r>
          </w:p>
        </w:tc>
        <w:tc>
          <w:tcPr>
            <w:tcW w:w="7302" w:type="dxa"/>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工作环境</w:t>
            </w:r>
          </w:p>
        </w:tc>
        <w:tc>
          <w:tcPr>
            <w:tcW w:w="7302" w:type="dxa"/>
            <w:noWrap w:val="0"/>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1.使用场地：</w:t>
            </w:r>
            <w:r>
              <w:rPr>
                <w:rFonts w:hint="eastAsia" w:ascii="宋体" w:hAnsi="宋体" w:eastAsia="宋体" w:cs="宋体"/>
                <w:color w:val="auto"/>
                <w:sz w:val="21"/>
                <w:szCs w:val="21"/>
                <w:lang w:val="en-US"/>
              </w:rPr>
              <w:t>室内、室外</w:t>
            </w:r>
            <w:r>
              <w:rPr>
                <w:rFonts w:hint="eastAsia" w:ascii="宋体" w:hAnsi="宋体" w:eastAsia="宋体" w:cs="宋体"/>
                <w:color w:val="auto"/>
                <w:sz w:val="21"/>
                <w:szCs w:val="21"/>
                <w:lang w:val="en-US" w:eastAsia="zh-CN"/>
              </w:rPr>
              <w:t>；</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工作温度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-20～60℃</w:t>
            </w:r>
            <w:r>
              <w:rPr>
                <w:rFonts w:hint="eastAsia" w:ascii="宋体" w:hAnsi="宋体" w:eastAsia="宋体" w:cs="宋体"/>
                <w:color w:val="auto"/>
                <w:sz w:val="21"/>
                <w:szCs w:val="21"/>
                <w:lang w:val="en-US" w:eastAsia="zh-CN"/>
              </w:rPr>
              <w:t>；</w:t>
            </w:r>
          </w:p>
          <w:p>
            <w:pPr>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工作湿度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小于 90%不凝露</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电源输入要求</w:t>
            </w:r>
          </w:p>
        </w:tc>
        <w:tc>
          <w:tcPr>
            <w:tcW w:w="7302" w:type="dxa"/>
            <w:noWrap w:val="0"/>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1.输入电压：</w:t>
            </w:r>
            <w:r>
              <w:rPr>
                <w:rFonts w:hint="eastAsia" w:ascii="宋体" w:hAnsi="宋体" w:eastAsia="宋体" w:cs="宋体"/>
                <w:color w:val="auto"/>
                <w:sz w:val="21"/>
                <w:szCs w:val="21"/>
                <w:lang w:val="en-US"/>
              </w:rPr>
              <w:t>AC220V±10% 50Hz</w:t>
            </w:r>
            <w:r>
              <w:rPr>
                <w:rFonts w:hint="eastAsia" w:ascii="宋体" w:hAnsi="宋体" w:eastAsia="宋体" w:cs="宋体"/>
                <w:color w:val="auto"/>
                <w:sz w:val="21"/>
                <w:szCs w:val="21"/>
                <w:lang w:val="en-US" w:eastAsia="zh-CN"/>
              </w:rPr>
              <w:t>；</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电线接驳要求</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接地电阻小于 100mΩ</w:t>
            </w:r>
            <w:r>
              <w:rPr>
                <w:rFonts w:hint="eastAsia" w:ascii="宋体" w:hAnsi="宋体" w:eastAsia="宋体" w:cs="宋体"/>
                <w:color w:val="auto"/>
                <w:sz w:val="21"/>
                <w:szCs w:val="21"/>
                <w:lang w:val="en-US" w:eastAsia="zh-CN"/>
              </w:rPr>
              <w:t>；</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待机功耗</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 xml:space="preserve">小于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W</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电源输出规格</w:t>
            </w:r>
          </w:p>
        </w:tc>
        <w:tc>
          <w:tcPr>
            <w:tcW w:w="7302" w:type="dxa"/>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1、最大输出功率：单路 做大输出功率为2200W；</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2、最大输出电流：单路最大输出电流为10A；</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3、输出口数：双口输出，独立控制；</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4、每个充电口独立计量，计量精度达到二级（含）以上标准。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4</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组网方式</w:t>
            </w:r>
          </w:p>
        </w:tc>
        <w:tc>
          <w:tcPr>
            <w:tcW w:w="7302" w:type="dxa"/>
            <w:noWrap w:val="0"/>
            <w:vAlign w:val="center"/>
          </w:tcPr>
          <w:p>
            <w:pPr>
              <w:pStyle w:val="6"/>
              <w:spacing w:line="360" w:lineRule="auto"/>
              <w:ind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插座与网关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无线2.45G局域网</w:t>
            </w:r>
            <w:r>
              <w:rPr>
                <w:rFonts w:hint="eastAsia" w:ascii="宋体" w:hAnsi="宋体" w:eastAsia="宋体" w:cs="宋体"/>
                <w:color w:val="auto"/>
                <w:sz w:val="21"/>
                <w:szCs w:val="21"/>
                <w:lang w:eastAsia="zh-CN"/>
              </w:rPr>
              <w:t>；</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网关</w:t>
            </w:r>
            <w:r>
              <w:rPr>
                <w:rFonts w:hint="eastAsia" w:ascii="宋体" w:hAnsi="宋体" w:eastAsia="宋体" w:cs="宋体"/>
                <w:color w:val="auto"/>
                <w:sz w:val="21"/>
                <w:szCs w:val="21"/>
                <w:lang w:val="en-US" w:eastAsia="zh-CN"/>
              </w:rPr>
              <w:t>上行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4G网络。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插座外观</w:t>
            </w:r>
          </w:p>
        </w:tc>
        <w:tc>
          <w:tcPr>
            <w:tcW w:w="7302" w:type="dxa"/>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1.防爆等级：≥IK09；</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2.规格尺寸：约130mm*120mm*60mm；</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3.防尘防水：≥IP55。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6</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安全性</w:t>
            </w:r>
          </w:p>
        </w:tc>
        <w:tc>
          <w:tcPr>
            <w:tcW w:w="7302" w:type="dxa"/>
            <w:noWrap w:val="0"/>
            <w:vAlign w:val="center"/>
          </w:tcPr>
          <w:p>
            <w:pPr>
              <w:pStyle w:val="6"/>
              <w:spacing w:line="360" w:lineRule="auto"/>
              <w:ind w:firstLine="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过载保护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过压保护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欠压保护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过流保护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p>
            <w:pPr>
              <w:pStyle w:val="6"/>
              <w:spacing w:line="360" w:lineRule="auto"/>
              <w:ind w:left="0" w:lef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过温保护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7</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计费模式</w:t>
            </w:r>
          </w:p>
        </w:tc>
        <w:tc>
          <w:tcPr>
            <w:tcW w:w="7302" w:type="dxa"/>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支持</w:t>
            </w:r>
            <w:r>
              <w:rPr>
                <w:rFonts w:hint="eastAsia" w:ascii="宋体" w:hAnsi="宋体" w:eastAsia="宋体" w:cs="宋体"/>
                <w:color w:val="auto"/>
                <w:sz w:val="21"/>
                <w:szCs w:val="21"/>
              </w:rPr>
              <w:t>多种计费模式</w:t>
            </w:r>
            <w:r>
              <w:rPr>
                <w:rFonts w:hint="eastAsia" w:ascii="宋体" w:hAnsi="宋体" w:eastAsia="宋体" w:cs="宋体"/>
                <w:color w:val="auto"/>
                <w:sz w:val="21"/>
                <w:szCs w:val="21"/>
                <w:lang w:eastAsia="zh-CN"/>
              </w:rPr>
              <w:t>：</w:t>
            </w:r>
          </w:p>
          <w:p>
            <w:pPr>
              <w:pStyle w:val="6"/>
              <w:spacing w:line="360" w:lineRule="auto"/>
              <w:ind w:left="0" w:leftChars="0" w:firstLine="0" w:firstLineChars="0"/>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可</w:t>
            </w:r>
            <w:r>
              <w:rPr>
                <w:rFonts w:hint="eastAsia" w:ascii="宋体" w:hAnsi="宋体" w:eastAsia="宋体" w:cs="宋体"/>
                <w:color w:val="auto"/>
                <w:w w:val="100"/>
                <w:sz w:val="21"/>
                <w:szCs w:val="21"/>
              </w:rPr>
              <w:t>按时/按功率/按电量/包月/白名单等方式</w:t>
            </w:r>
            <w:r>
              <w:rPr>
                <w:rFonts w:hint="eastAsia" w:ascii="宋体" w:hAnsi="宋体" w:eastAsia="宋体" w:cs="宋体"/>
                <w:color w:val="auto"/>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8</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机交互</w:t>
            </w:r>
          </w:p>
        </w:tc>
        <w:tc>
          <w:tcPr>
            <w:tcW w:w="7302" w:type="dxa"/>
            <w:noWrap w:val="0"/>
            <w:vAlign w:val="center"/>
          </w:tcPr>
          <w:p>
            <w:pPr>
              <w:pStyle w:val="6"/>
              <w:spacing w:line="36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双色</w:t>
            </w:r>
            <w:r>
              <w:rPr>
                <w:rFonts w:hint="eastAsia" w:ascii="宋体" w:hAnsi="宋体" w:eastAsia="宋体" w:cs="宋体"/>
                <w:color w:val="auto"/>
                <w:spacing w:val="-50"/>
                <w:sz w:val="21"/>
                <w:szCs w:val="21"/>
              </w:rPr>
              <w:t xml:space="preserve"> </w:t>
            </w:r>
            <w:r>
              <w:rPr>
                <w:rFonts w:hint="eastAsia" w:ascii="宋体" w:hAnsi="宋体" w:eastAsia="宋体" w:cs="宋体"/>
                <w:color w:val="auto"/>
                <w:sz w:val="21"/>
                <w:szCs w:val="21"/>
              </w:rPr>
              <w:t>LED</w:t>
            </w:r>
            <w:r>
              <w:rPr>
                <w:rFonts w:hint="eastAsia" w:ascii="宋体" w:hAnsi="宋体" w:eastAsia="宋体" w:cs="宋体"/>
                <w:color w:val="auto"/>
                <w:spacing w:val="-54"/>
                <w:sz w:val="21"/>
                <w:szCs w:val="21"/>
              </w:rPr>
              <w:t xml:space="preserve"> </w:t>
            </w:r>
            <w:r>
              <w:rPr>
                <w:rFonts w:hint="eastAsia" w:ascii="宋体" w:hAnsi="宋体" w:eastAsia="宋体" w:cs="宋体"/>
                <w:color w:val="auto"/>
                <w:sz w:val="21"/>
                <w:szCs w:val="21"/>
              </w:rPr>
              <w:t>灯</w:t>
            </w:r>
            <w:r>
              <w:rPr>
                <w:rFonts w:hint="eastAsia" w:ascii="宋体" w:hAnsi="宋体" w:eastAsia="宋体" w:cs="宋体"/>
                <w:color w:val="auto"/>
                <w:sz w:val="21"/>
                <w:szCs w:val="21"/>
                <w:lang w:eastAsia="zh-CN"/>
              </w:rPr>
              <w:t>；</w:t>
            </w:r>
          </w:p>
          <w:p>
            <w:pPr>
              <w:pStyle w:val="6"/>
              <w:spacing w:line="360" w:lineRule="auto"/>
              <w:ind w:left="0" w:leftChars="0" w:firstLine="0" w:firstLineChars="0"/>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支持语音播报</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9</w:t>
            </w:r>
          </w:p>
        </w:tc>
        <w:tc>
          <w:tcPr>
            <w:tcW w:w="1800" w:type="dxa"/>
            <w:noWrap w:val="0"/>
            <w:vAlign w:val="center"/>
          </w:tcPr>
          <w:p>
            <w:p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用户使用</w:t>
            </w:r>
          </w:p>
        </w:tc>
        <w:tc>
          <w:tcPr>
            <w:tcW w:w="7302" w:type="dxa"/>
            <w:noWrap w:val="0"/>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1.扫码充电：单个二维码支持扫码开启左右两个插口，支持微信、支付宝扫码充电，支持电子钱包；</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2.在线卡，左右分区独立刷卡充电；</w:t>
            </w:r>
          </w:p>
          <w:p>
            <w:p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3.微信/支付宝扫码充值。</w:t>
            </w:r>
          </w:p>
        </w:tc>
      </w:tr>
    </w:tbl>
    <w:p>
      <w:pPr>
        <w:pStyle w:val="4"/>
        <w:bidi w:val="0"/>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5.1.3.充电管理系统</w:t>
      </w:r>
    </w:p>
    <w:p>
      <w:pPr>
        <w:pStyle w:val="6"/>
        <w:numPr>
          <w:ilvl w:val="0"/>
          <w:numId w:val="0"/>
        </w:numPr>
        <w:spacing w:line="360" w:lineRule="auto"/>
        <w:ind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具有自主知识产权，无任何侵权纠纷，提供软件著作权证书复印件并加盖供应商公章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692"/>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站点管理功能</w:t>
            </w:r>
          </w:p>
        </w:tc>
        <w:tc>
          <w:tcPr>
            <w:tcW w:w="7155"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站点管理：1.站点列表可按站点名称查询站点相关信息包括名称、状态、所在位置详细地址、 设备数/插孔数、离线设备数、使用中插孔数、近7日插孔使用率、网关信号、所属</w:t>
            </w:r>
            <w:r>
              <w:rPr>
                <w:rFonts w:hint="eastAsia" w:ascii="宋体" w:hAnsi="宋体" w:eastAsia="宋体" w:cs="宋体"/>
                <w:color w:val="auto"/>
                <w:sz w:val="21"/>
                <w:szCs w:val="21"/>
                <w:lang w:val="en-US" w:eastAsia="zh-Hans" w:bidi="zh-CN"/>
              </w:rPr>
              <w:t>区域</w:t>
            </w:r>
            <w:r>
              <w:rPr>
                <w:rFonts w:hint="eastAsia" w:ascii="宋体" w:hAnsi="宋体" w:eastAsia="宋体" w:cs="宋体"/>
                <w:color w:val="auto"/>
                <w:sz w:val="21"/>
                <w:szCs w:val="21"/>
                <w:lang w:val="en-US" w:eastAsia="zh-CN" w:bidi="zh-CN"/>
              </w:rPr>
              <w:t>，2.单个站点可查看详细统计包含收款统计（可按日、周、月查看）、耗电量统计、活跃用户统计、支付方式统计，3.设备管理包含设备白名单设置、设备参数修改（充满功率阈值、充满延迟时间、空载功率阈值、空载延迟时间、最大充电时间、最大充电功率），4.站点个性化设置包含计费方式、分账方式、支付方式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订单管理功能</w:t>
            </w:r>
          </w:p>
        </w:tc>
        <w:tc>
          <w:tcPr>
            <w:tcW w:w="7155"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可查看全部订单详细信息包括用户、站点、设备、金额、支付渠道、订单状态、起止时间、消耗电量，技术原因等，可按异常订单、成功订单等不同维度进行订单查询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3</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订单退款 </w:t>
            </w:r>
          </w:p>
        </w:tc>
        <w:tc>
          <w:tcPr>
            <w:tcW w:w="7155"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运营商后台可以对订单进行订单退款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4</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财务管理功能</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可根据收款、退款等不同维度导出财务报表；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5</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运营商管理功能</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1.分为直营账户（运营商自行运营）或者分账账户（</w:t>
            </w:r>
            <w:r>
              <w:rPr>
                <w:rFonts w:hint="eastAsia" w:ascii="宋体" w:hAnsi="宋体" w:eastAsia="宋体" w:cs="宋体"/>
                <w:color w:val="auto"/>
                <w:sz w:val="21"/>
                <w:szCs w:val="21"/>
                <w:highlight w:val="none"/>
                <w:lang w:val="en-US" w:eastAsia="zh-CN" w:bidi="zh-CN"/>
              </w:rPr>
              <w:t>运营商售卖不参与设备运营</w:t>
            </w:r>
            <w:r>
              <w:rPr>
                <w:rFonts w:hint="eastAsia" w:ascii="宋体" w:hAnsi="宋体" w:eastAsia="宋体" w:cs="宋体"/>
                <w:color w:val="auto"/>
                <w:sz w:val="21"/>
                <w:szCs w:val="21"/>
                <w:lang w:val="en-US" w:eastAsia="zh-CN" w:bidi="zh-CN"/>
              </w:rPr>
              <w:t>），2. 可以建立子运营商账户，3.直营账户可给子运营商分配各种权限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运营管理手机端</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可在手机端快速建站、激活卡片、管理设备和数据查询，方便管理者随时随地查看相关数据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7</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用户手机端</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用户端采用微信小程序或公众号扫码使用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8</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未充电下自行退款</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默认支付后10分钟内可无条件退款或45秒内检测无充电器接入或其他导致空载等异常情况自动发起退款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9</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故障告警</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过压、欠压、继电器黏连等故障上报管理平台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pStyle w:val="6"/>
              <w:numPr>
                <w:ilvl w:val="0"/>
                <w:numId w:val="0"/>
              </w:numPr>
              <w:spacing w:line="360" w:lineRule="auto"/>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10</w:t>
            </w:r>
          </w:p>
        </w:tc>
        <w:tc>
          <w:tcPr>
            <w:tcW w:w="1959" w:type="dxa"/>
            <w:noWrap w:val="0"/>
            <w:vAlign w:val="top"/>
          </w:tcPr>
          <w:p>
            <w:pPr>
              <w:pStyle w:val="6"/>
              <w:numPr>
                <w:ilvl w:val="0"/>
                <w:numId w:val="0"/>
              </w:numPr>
              <w:spacing w:line="360" w:lineRule="auto"/>
              <w:jc w:val="both"/>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大屏统计</w:t>
            </w:r>
          </w:p>
        </w:tc>
        <w:tc>
          <w:tcPr>
            <w:tcW w:w="7155" w:type="dxa"/>
            <w:noWrap w:val="0"/>
            <w:vAlign w:val="top"/>
          </w:tcPr>
          <w:p>
            <w:pPr>
              <w:pStyle w:val="22"/>
              <w:spacing w:line="360" w:lineRule="auto"/>
              <w:ind w:left="0" w:firstLine="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管理平台具有大屏统计功能，站点、设备和插孔的数量、订单量、使用排行榜等大屏展示</w:t>
            </w:r>
          </w:p>
        </w:tc>
      </w:tr>
    </w:tbl>
    <w:p>
      <w:pPr>
        <w:pStyle w:val="2"/>
        <w:numPr>
          <w:ilvl w:val="0"/>
          <w:numId w:val="0"/>
        </w:numPr>
        <w:bidi w:val="0"/>
        <w:spacing w:line="360" w:lineRule="auto"/>
        <w:rPr>
          <w:rFonts w:hint="eastAsia" w:ascii="宋体" w:hAnsi="宋体" w:eastAsia="宋体" w:cs="宋体"/>
          <w:color w:val="auto"/>
        </w:rPr>
      </w:pPr>
      <w:r>
        <w:rPr>
          <w:rFonts w:hint="eastAsia" w:ascii="宋体" w:hAnsi="宋体" w:eastAsia="宋体" w:cs="宋体"/>
          <w:color w:val="auto"/>
          <w:lang w:val="en-US" w:eastAsia="zh-CN"/>
        </w:rPr>
        <w:t>5.2</w:t>
      </w:r>
      <w:r>
        <w:rPr>
          <w:rFonts w:hint="eastAsia" w:ascii="宋体" w:hAnsi="宋体" w:eastAsia="宋体" w:cs="宋体"/>
          <w:color w:val="auto"/>
        </w:rPr>
        <w:t>安装要求</w:t>
      </w:r>
    </w:p>
    <w:p>
      <w:pPr>
        <w:pStyle w:val="14"/>
        <w:spacing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符合消防安全要求。</w:t>
      </w:r>
    </w:p>
    <w:p>
      <w:pPr>
        <w:pStyle w:val="3"/>
        <w:bidi w:val="0"/>
        <w:spacing w:line="360" w:lineRule="auto"/>
        <w:rPr>
          <w:rFonts w:hint="eastAsia" w:ascii="宋体" w:hAnsi="宋体" w:eastAsia="宋体" w:cs="宋体"/>
          <w:color w:val="auto"/>
          <w:sz w:val="28"/>
          <w:szCs w:val="28"/>
          <w:lang w:eastAsia="zh-Hans"/>
        </w:rPr>
      </w:pPr>
      <w:r>
        <w:rPr>
          <w:rFonts w:hint="eastAsia" w:ascii="宋体" w:hAnsi="宋体" w:eastAsia="宋体" w:cs="宋体"/>
          <w:color w:val="auto"/>
          <w:lang w:eastAsia="zh-CN"/>
        </w:rPr>
        <w:t>六</w:t>
      </w:r>
      <w:r>
        <w:rPr>
          <w:rFonts w:hint="eastAsia" w:ascii="宋体" w:hAnsi="宋体" w:eastAsia="宋体" w:cs="宋体"/>
          <w:color w:val="auto"/>
        </w:rPr>
        <w:t>、</w:t>
      </w:r>
      <w:r>
        <w:rPr>
          <w:rFonts w:hint="eastAsia" w:ascii="宋体" w:hAnsi="宋体" w:eastAsia="宋体" w:cs="宋体"/>
          <w:color w:val="auto"/>
          <w:lang w:val="en-US" w:eastAsia="zh-Hans"/>
        </w:rPr>
        <w:t>产品检测</w:t>
      </w:r>
      <w:r>
        <w:rPr>
          <w:rFonts w:hint="eastAsia" w:ascii="宋体" w:hAnsi="宋体" w:eastAsia="宋体" w:cs="宋体"/>
          <w:color w:val="auto"/>
        </w:rPr>
        <w:t>要求</w:t>
      </w:r>
      <w:r>
        <w:rPr>
          <w:rFonts w:hint="eastAsia" w:ascii="宋体" w:hAnsi="宋体" w:eastAsia="宋体" w:cs="宋体"/>
          <w:color w:val="auto"/>
          <w:sz w:val="28"/>
          <w:szCs w:val="28"/>
          <w:lang w:eastAsia="zh-Hans"/>
        </w:rPr>
        <w:t>（</w:t>
      </w:r>
      <w:r>
        <w:rPr>
          <w:rFonts w:hint="eastAsia" w:ascii="宋体" w:hAnsi="宋体" w:eastAsia="宋体" w:cs="宋体"/>
          <w:color w:val="auto"/>
          <w:sz w:val="28"/>
          <w:szCs w:val="28"/>
          <w:lang w:val="en-US" w:eastAsia="zh-Hans"/>
        </w:rPr>
        <w:t>提供符合本项检测标准的证明文件，并盖生产厂家公章）</w:t>
      </w:r>
    </w:p>
    <w:p>
      <w:pPr>
        <w:pStyle w:val="2"/>
        <w:numPr>
          <w:ilvl w:val="0"/>
          <w:numId w:val="0"/>
        </w:numPr>
        <w:bidi w:val="0"/>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6.1性能要求</w:t>
      </w:r>
    </w:p>
    <w:p>
      <w:pPr>
        <w:pStyle w:val="4"/>
        <w:bidi w:val="0"/>
        <w:spacing w:line="360" w:lineRule="auto"/>
        <w:rPr>
          <w:rFonts w:hint="eastAsia" w:ascii="宋体" w:hAnsi="宋体" w:eastAsia="宋体" w:cs="宋体"/>
          <w:color w:val="auto"/>
        </w:rPr>
      </w:pPr>
      <w:r>
        <w:rPr>
          <w:rFonts w:hint="eastAsia" w:ascii="宋体" w:hAnsi="宋体" w:eastAsia="宋体" w:cs="宋体"/>
          <w:color w:val="auto"/>
          <w:lang w:val="en-US" w:eastAsia="zh-CN"/>
        </w:rPr>
        <w:t>6.1.1</w:t>
      </w:r>
      <w:r>
        <w:rPr>
          <w:rFonts w:hint="eastAsia" w:ascii="宋体" w:hAnsi="宋体" w:eastAsia="宋体" w:cs="宋体"/>
          <w:color w:val="auto"/>
        </w:rPr>
        <w:t>交流输入</w:t>
      </w:r>
    </w:p>
    <w:p>
      <w:pPr>
        <w:spacing w:line="360" w:lineRule="auto"/>
        <w:ind w:firstLine="480"/>
        <w:rPr>
          <w:rFonts w:hint="eastAsia" w:ascii="宋体" w:hAnsi="宋体" w:eastAsia="宋体" w:cs="宋体"/>
          <w:color w:val="auto"/>
          <w:lang w:val="en-GB"/>
        </w:rPr>
      </w:pPr>
      <w:r>
        <w:rPr>
          <w:rFonts w:hint="eastAsia" w:ascii="宋体" w:hAnsi="宋体" w:eastAsia="宋体" w:cs="宋体"/>
          <w:color w:val="auto"/>
          <w:lang w:val="en-GB"/>
        </w:rPr>
        <w:t>用交流电压源给充电桩供电，调节电源的电压、电流及频率，设备在</w:t>
      </w:r>
      <w:r>
        <w:rPr>
          <w:rFonts w:hint="eastAsia" w:ascii="宋体" w:hAnsi="宋体" w:eastAsia="宋体" w:cs="宋体"/>
          <w:color w:val="auto"/>
        </w:rPr>
        <w:t>176V～264V、0A～32A和47.5 Hz～52.5Hz范围内应能正常工作。</w:t>
      </w:r>
    </w:p>
    <w:p>
      <w:pPr>
        <w:pStyle w:val="2"/>
        <w:numPr>
          <w:ilvl w:val="0"/>
          <w:numId w:val="0"/>
        </w:numPr>
        <w:spacing w:before="163" w:after="163" w:line="360" w:lineRule="auto"/>
        <w:rPr>
          <w:rFonts w:hint="eastAsia" w:ascii="宋体" w:hAnsi="宋体" w:eastAsia="宋体" w:cs="宋体"/>
          <w:color w:val="auto"/>
        </w:rPr>
      </w:pPr>
      <w:r>
        <w:rPr>
          <w:rFonts w:hint="eastAsia" w:ascii="宋体" w:hAnsi="宋体" w:eastAsia="宋体" w:cs="宋体"/>
          <w:color w:val="auto"/>
          <w:lang w:val="en-US" w:eastAsia="zh-CN"/>
        </w:rPr>
        <w:t>6.2</w:t>
      </w:r>
      <w:r>
        <w:rPr>
          <w:rFonts w:hint="eastAsia" w:ascii="宋体" w:hAnsi="宋体" w:eastAsia="宋体" w:cs="宋体"/>
          <w:color w:val="auto"/>
        </w:rPr>
        <w:t>功能要求</w:t>
      </w:r>
    </w:p>
    <w:p>
      <w:pPr>
        <w:pStyle w:val="4"/>
        <w:spacing w:line="360" w:lineRule="auto"/>
        <w:ind w:left="0"/>
        <w:rPr>
          <w:rFonts w:hint="eastAsia" w:ascii="宋体" w:hAnsi="宋体" w:eastAsia="宋体" w:cs="宋体"/>
          <w:b/>
          <w:bCs/>
          <w:color w:val="auto"/>
        </w:rPr>
      </w:pPr>
      <w:bookmarkStart w:id="0" w:name="_Toc19090542"/>
      <w:r>
        <w:rPr>
          <w:rFonts w:hint="eastAsia" w:ascii="宋体" w:hAnsi="宋体" w:eastAsia="宋体" w:cs="宋体"/>
          <w:color w:val="auto"/>
          <w:lang w:val="en-US" w:eastAsia="zh-CN"/>
        </w:rPr>
        <w:t>6.2.1</w:t>
      </w:r>
      <w:r>
        <w:rPr>
          <w:rFonts w:hint="eastAsia" w:ascii="宋体" w:hAnsi="宋体" w:eastAsia="宋体" w:cs="宋体"/>
          <w:color w:val="auto"/>
        </w:rPr>
        <w:t>显示功能</w:t>
      </w:r>
      <w:bookmarkEnd w:id="0"/>
    </w:p>
    <w:p>
      <w:pPr>
        <w:spacing w:line="360" w:lineRule="auto"/>
        <w:ind w:firstLine="480"/>
        <w:rPr>
          <w:rFonts w:hint="eastAsia" w:ascii="宋体" w:hAnsi="宋体" w:eastAsia="宋体" w:cs="宋体"/>
          <w:color w:val="auto"/>
        </w:rPr>
      </w:pPr>
      <w:r>
        <w:rPr>
          <w:rFonts w:hint="eastAsia" w:ascii="宋体" w:hAnsi="宋体" w:eastAsia="宋体" w:cs="宋体"/>
          <w:color w:val="auto"/>
        </w:rPr>
        <w:t>对设备进行启停操作，在充电过程中的各种状态下，检查交流充电桩能否正确显示相关信息，指示灯状态明显，丝印完整清晰没有缺损。</w:t>
      </w:r>
    </w:p>
    <w:p>
      <w:pPr>
        <w:pStyle w:val="4"/>
        <w:spacing w:line="360" w:lineRule="auto"/>
        <w:ind w:left="0"/>
        <w:rPr>
          <w:rFonts w:hint="eastAsia" w:ascii="宋体" w:hAnsi="宋体" w:eastAsia="宋体" w:cs="宋体"/>
          <w:b/>
          <w:bCs/>
          <w:color w:val="auto"/>
        </w:rPr>
      </w:pPr>
      <w:bookmarkStart w:id="1" w:name="_Toc14612550"/>
      <w:bookmarkStart w:id="2" w:name="_Toc19090543"/>
      <w:bookmarkStart w:id="3" w:name="bookmark75"/>
      <w:bookmarkStart w:id="4" w:name="bookmark76"/>
      <w:bookmarkStart w:id="5" w:name="bookmark74"/>
      <w:r>
        <w:rPr>
          <w:rFonts w:hint="eastAsia" w:ascii="宋体" w:hAnsi="宋体" w:eastAsia="宋体" w:cs="宋体"/>
          <w:color w:val="auto"/>
          <w:lang w:val="en-US" w:eastAsia="zh-CN"/>
        </w:rPr>
        <w:t>6.2.2</w:t>
      </w:r>
      <w:r>
        <w:rPr>
          <w:rFonts w:hint="eastAsia" w:ascii="宋体" w:hAnsi="宋体" w:eastAsia="宋体" w:cs="宋体"/>
          <w:color w:val="auto"/>
        </w:rPr>
        <w:t>充电功能</w:t>
      </w:r>
      <w:bookmarkEnd w:id="1"/>
      <w:bookmarkEnd w:id="2"/>
      <w:bookmarkEnd w:id="3"/>
      <w:bookmarkEnd w:id="4"/>
      <w:bookmarkEnd w:id="5"/>
    </w:p>
    <w:p>
      <w:pPr>
        <w:spacing w:line="360" w:lineRule="auto"/>
        <w:ind w:firstLine="480"/>
        <w:rPr>
          <w:rFonts w:hint="eastAsia" w:ascii="宋体" w:hAnsi="宋体" w:eastAsia="宋体" w:cs="宋体"/>
          <w:color w:val="auto"/>
        </w:rPr>
      </w:pPr>
      <w:r>
        <w:rPr>
          <w:rFonts w:hint="eastAsia" w:ascii="宋体" w:hAnsi="宋体" w:eastAsia="宋体" w:cs="宋体"/>
          <w:color w:val="auto"/>
        </w:rPr>
        <w:t>在额定输入电压、额定输入频率的条件下，对每路电源模块接入模拟负载，开启电源模块模拟充电过程，应能实现定时间、定电量、定金额、自动充满等自动充电方式。</w:t>
      </w:r>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6.2.3</w:t>
      </w:r>
      <w:r>
        <w:rPr>
          <w:rFonts w:hint="eastAsia" w:ascii="宋体" w:hAnsi="宋体" w:eastAsia="宋体" w:cs="宋体"/>
          <w:color w:val="auto"/>
        </w:rPr>
        <w:t>监控功能</w:t>
      </w:r>
    </w:p>
    <w:p>
      <w:pPr>
        <w:spacing w:line="360" w:lineRule="auto"/>
        <w:ind w:firstLine="480"/>
        <w:rPr>
          <w:rFonts w:hint="eastAsia" w:ascii="宋体" w:hAnsi="宋体" w:eastAsia="宋体" w:cs="宋体"/>
          <w:color w:val="auto"/>
        </w:rPr>
      </w:pPr>
      <w:bookmarkStart w:id="6" w:name="bookmark77"/>
      <w:bookmarkEnd w:id="6"/>
      <w:r>
        <w:rPr>
          <w:rFonts w:hint="eastAsia" w:ascii="宋体" w:hAnsi="宋体" w:eastAsia="宋体" w:cs="宋体"/>
          <w:color w:val="auto"/>
        </w:rPr>
        <w:t>将设备接入平台，模拟故障、报警、充电等状态，应能满足一下要求：</w:t>
      </w:r>
    </w:p>
    <w:p>
      <w:pPr>
        <w:pStyle w:val="24"/>
        <w:numPr>
          <w:ilvl w:val="0"/>
          <w:numId w:val="5"/>
        </w:numPr>
        <w:spacing w:line="360" w:lineRule="auto"/>
        <w:ind w:firstLineChars="0"/>
        <w:rPr>
          <w:rFonts w:hint="eastAsia" w:ascii="宋体" w:hAnsi="宋体" w:eastAsia="宋体" w:cs="宋体"/>
          <w:color w:val="auto"/>
          <w:szCs w:val="21"/>
        </w:rPr>
      </w:pPr>
      <w:r>
        <w:rPr>
          <w:rFonts w:hint="eastAsia" w:ascii="宋体" w:hAnsi="宋体" w:eastAsia="宋体" w:cs="宋体"/>
          <w:color w:val="auto"/>
        </w:rPr>
        <w:t>充电桩监控系统应具有平台记录和监控功能，支持OTA远程升级功能；应支持两个监控地址，并且上级监控地址设置应支持域名方式</w:t>
      </w:r>
      <w:r>
        <w:rPr>
          <w:rFonts w:hint="eastAsia" w:ascii="宋体" w:hAnsi="宋体" w:eastAsia="宋体" w:cs="宋体"/>
          <w:color w:val="auto"/>
          <w:szCs w:val="21"/>
        </w:rPr>
        <w:t>；</w:t>
      </w:r>
    </w:p>
    <w:p>
      <w:pPr>
        <w:pStyle w:val="24"/>
        <w:numPr>
          <w:ilvl w:val="0"/>
          <w:numId w:val="5"/>
        </w:numPr>
        <w:spacing w:line="360" w:lineRule="auto"/>
        <w:ind w:firstLineChars="0"/>
        <w:rPr>
          <w:rFonts w:hint="eastAsia" w:ascii="宋体" w:hAnsi="宋体" w:eastAsia="宋体" w:cs="宋体"/>
          <w:color w:val="auto"/>
        </w:rPr>
      </w:pPr>
      <w:r>
        <w:rPr>
          <w:rFonts w:hint="eastAsia" w:ascii="宋体" w:hAnsi="宋体" w:eastAsia="宋体" w:cs="宋体"/>
          <w:color w:val="auto"/>
        </w:rPr>
        <w:t>故障、报警、充电开始与结束等平台上均应有事件记录，并有保存充电过程曲线的功能，曲线采集时间间隔5min；</w:t>
      </w:r>
    </w:p>
    <w:p>
      <w:pPr>
        <w:pStyle w:val="24"/>
        <w:numPr>
          <w:ilvl w:val="0"/>
          <w:numId w:val="5"/>
        </w:numPr>
        <w:spacing w:line="360" w:lineRule="auto"/>
        <w:ind w:firstLineChars="0"/>
        <w:rPr>
          <w:rFonts w:hint="eastAsia" w:ascii="宋体" w:hAnsi="宋体" w:eastAsia="宋体" w:cs="宋体"/>
          <w:color w:val="auto"/>
        </w:rPr>
      </w:pPr>
      <w:r>
        <w:rPr>
          <w:rFonts w:hint="eastAsia" w:ascii="宋体" w:hAnsi="宋体" w:eastAsia="宋体" w:cs="宋体"/>
          <w:color w:val="auto"/>
        </w:rPr>
        <w:t>具有向上级监控管理系统传送工作状态、故障信号、电压、电流、功率、电能量等信息的功能。</w:t>
      </w:r>
    </w:p>
    <w:p>
      <w:pPr>
        <w:pStyle w:val="4"/>
        <w:bidi w:val="0"/>
        <w:spacing w:line="360" w:lineRule="auto"/>
        <w:rPr>
          <w:rFonts w:hint="eastAsia" w:ascii="宋体" w:hAnsi="宋体" w:eastAsia="宋体" w:cs="宋体"/>
          <w:color w:val="auto"/>
        </w:rPr>
      </w:pPr>
      <w:bookmarkStart w:id="7" w:name="bookmark78"/>
      <w:bookmarkEnd w:id="7"/>
      <w:bookmarkStart w:id="8" w:name="bookmark81"/>
      <w:bookmarkStart w:id="9" w:name="bookmark79"/>
      <w:bookmarkStart w:id="10" w:name="bookmark80"/>
      <w:bookmarkStart w:id="11" w:name="_Toc19090544"/>
      <w:bookmarkStart w:id="12" w:name="_Toc14612551"/>
      <w:r>
        <w:rPr>
          <w:rFonts w:hint="eastAsia" w:ascii="宋体" w:hAnsi="宋体" w:eastAsia="宋体" w:cs="宋体"/>
          <w:color w:val="auto"/>
          <w:lang w:val="en-US" w:eastAsia="zh-CN"/>
        </w:rPr>
        <w:t>6.2.3</w:t>
      </w:r>
      <w:r>
        <w:rPr>
          <w:rFonts w:hint="eastAsia" w:ascii="宋体" w:hAnsi="宋体" w:eastAsia="宋体" w:cs="宋体"/>
          <w:color w:val="auto"/>
        </w:rPr>
        <w:t>计量功能</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充电桩每个输出接口应采用专用计量芯片或计量模块，且在充电桩额定工作范围内计量准确度不能低于2级。采用含有非线性的检测器件的计量模块需要出厂前进行调校，使其满足技术要求。</w:t>
      </w:r>
    </w:p>
    <w:p>
      <w:pPr>
        <w:pStyle w:val="4"/>
        <w:bidi w:val="0"/>
        <w:spacing w:line="360" w:lineRule="auto"/>
        <w:rPr>
          <w:rFonts w:hint="eastAsia" w:ascii="宋体" w:hAnsi="宋体" w:eastAsia="宋体" w:cs="宋体"/>
          <w:color w:val="auto"/>
        </w:rPr>
      </w:pPr>
      <w:r>
        <w:rPr>
          <w:rFonts w:hint="eastAsia" w:ascii="宋体" w:hAnsi="宋体" w:eastAsia="宋体" w:cs="宋体"/>
          <w:color w:val="auto"/>
          <w:lang w:val="en-US" w:eastAsia="zh-CN"/>
        </w:rPr>
        <w:t>6.2.4</w:t>
      </w:r>
      <w:r>
        <w:rPr>
          <w:rFonts w:hint="eastAsia" w:ascii="宋体" w:hAnsi="宋体" w:eastAsia="宋体" w:cs="宋体"/>
          <w:color w:val="auto"/>
        </w:rPr>
        <w:t>机械强度</w:t>
      </w:r>
      <w:bookmarkEnd w:id="8"/>
      <w:bookmarkEnd w:id="9"/>
      <w:bookmarkEnd w:id="10"/>
      <w:bookmarkEnd w:id="11"/>
      <w:bookmarkEnd w:id="12"/>
    </w:p>
    <w:p>
      <w:pPr>
        <w:pStyle w:val="24"/>
        <w:numPr>
          <w:ilvl w:val="0"/>
          <w:numId w:val="6"/>
        </w:numPr>
        <w:spacing w:line="360" w:lineRule="auto"/>
        <w:ind w:firstLineChars="0"/>
        <w:rPr>
          <w:rFonts w:hint="eastAsia" w:ascii="宋体" w:hAnsi="宋体" w:eastAsia="宋体" w:cs="宋体"/>
          <w:color w:val="auto"/>
        </w:rPr>
      </w:pPr>
      <w:r>
        <w:rPr>
          <w:rFonts w:hint="eastAsia" w:ascii="宋体" w:hAnsi="宋体" w:eastAsia="宋体" w:cs="宋体"/>
          <w:color w:val="auto"/>
        </w:rPr>
        <w:t>对于落地式充电桩，安装后从侧面施加1000N的推力并保持5min，试验后充电桩外观应无变形并能正常工作；</w:t>
      </w:r>
    </w:p>
    <w:p>
      <w:pPr>
        <w:pStyle w:val="24"/>
        <w:numPr>
          <w:ilvl w:val="0"/>
          <w:numId w:val="6"/>
        </w:numPr>
        <w:spacing w:line="360" w:lineRule="auto"/>
        <w:ind w:firstLineChars="0"/>
        <w:rPr>
          <w:rFonts w:hint="eastAsia" w:ascii="宋体" w:hAnsi="宋体" w:eastAsia="宋体" w:cs="宋体"/>
          <w:color w:val="auto"/>
        </w:rPr>
      </w:pPr>
      <w:r>
        <w:rPr>
          <w:rFonts w:hint="eastAsia" w:ascii="宋体" w:hAnsi="宋体" w:eastAsia="宋体" w:cs="宋体"/>
          <w:color w:val="auto"/>
        </w:rPr>
        <w:t>对于壁挂式充电桩，安装后在充电桩正中间位置逐渐增加负重至2000N并保持5min，试验后充电桩外观应无变形并能正常工作。</w:t>
      </w:r>
      <w:bookmarkStart w:id="13" w:name="_Toc14612552"/>
      <w:bookmarkStart w:id="14" w:name="bookmark84"/>
      <w:bookmarkStart w:id="15" w:name="bookmark83"/>
      <w:bookmarkStart w:id="16" w:name="_Toc19090545"/>
      <w:bookmarkStart w:id="17" w:name="bookmark82"/>
    </w:p>
    <w:p>
      <w:pPr>
        <w:pStyle w:val="2"/>
        <w:numPr>
          <w:ilvl w:val="0"/>
          <w:numId w:val="0"/>
        </w:numPr>
        <w:spacing w:before="163" w:after="163" w:line="360" w:lineRule="auto"/>
        <w:rPr>
          <w:rFonts w:hint="eastAsia" w:ascii="宋体" w:hAnsi="宋体" w:eastAsia="宋体" w:cs="宋体"/>
          <w:b/>
          <w:bCs w:val="0"/>
          <w:color w:val="auto"/>
        </w:rPr>
      </w:pPr>
      <w:r>
        <w:rPr>
          <w:rFonts w:hint="eastAsia" w:ascii="宋体" w:hAnsi="宋体" w:eastAsia="宋体" w:cs="宋体"/>
          <w:color w:val="auto"/>
          <w:lang w:val="en-US" w:eastAsia="zh-CN"/>
        </w:rPr>
        <w:t>6.3</w:t>
      </w:r>
      <w:r>
        <w:rPr>
          <w:rFonts w:hint="eastAsia" w:ascii="宋体" w:hAnsi="宋体" w:eastAsia="宋体" w:cs="宋体"/>
          <w:color w:val="auto"/>
        </w:rPr>
        <w:t>安全要求</w:t>
      </w:r>
      <w:bookmarkEnd w:id="13"/>
      <w:bookmarkEnd w:id="14"/>
      <w:bookmarkEnd w:id="15"/>
      <w:bookmarkEnd w:id="16"/>
      <w:bookmarkEnd w:id="17"/>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6.3.1</w:t>
      </w:r>
      <w:r>
        <w:rPr>
          <w:rFonts w:hint="eastAsia" w:ascii="宋体" w:hAnsi="宋体" w:eastAsia="宋体" w:cs="宋体"/>
          <w:color w:val="auto"/>
        </w:rPr>
        <w:t>过载保护</w:t>
      </w:r>
    </w:p>
    <w:p>
      <w:pPr>
        <w:pStyle w:val="24"/>
        <w:numPr>
          <w:ilvl w:val="0"/>
          <w:numId w:val="7"/>
        </w:numPr>
        <w:spacing w:line="360" w:lineRule="auto"/>
        <w:ind w:firstLineChars="0"/>
        <w:rPr>
          <w:rFonts w:hint="eastAsia" w:ascii="宋体" w:hAnsi="宋体" w:eastAsia="宋体" w:cs="宋体"/>
          <w:color w:val="auto"/>
        </w:rPr>
      </w:pPr>
      <w:r>
        <w:rPr>
          <w:rFonts w:hint="eastAsia" w:ascii="宋体" w:hAnsi="宋体" w:eastAsia="宋体" w:cs="宋体"/>
          <w:color w:val="auto"/>
        </w:rPr>
        <w:t>目视检查充电桩输出分路，每个分路应配置熔丝，安装方式应便于更换和维护，对某一分路施加1.5～2倍的额定电流，熔丝应断开。</w:t>
      </w:r>
    </w:p>
    <w:p>
      <w:pPr>
        <w:pStyle w:val="24"/>
        <w:numPr>
          <w:ilvl w:val="0"/>
          <w:numId w:val="7"/>
        </w:numPr>
        <w:spacing w:line="360" w:lineRule="auto"/>
        <w:ind w:firstLineChars="0"/>
        <w:rPr>
          <w:rFonts w:hint="eastAsia" w:ascii="宋体" w:hAnsi="宋体" w:eastAsia="宋体" w:cs="宋体"/>
          <w:color w:val="auto"/>
        </w:rPr>
      </w:pPr>
      <w:r>
        <w:rPr>
          <w:rFonts w:hint="eastAsia" w:ascii="宋体" w:hAnsi="宋体" w:eastAsia="宋体" w:cs="宋体"/>
          <w:color w:val="auto"/>
        </w:rPr>
        <w:t>对某一分路施加额定充电功率，并逐步提升功率，当回路的充电功率超过额定充电功率时，回路应自动关闭输出，且不对其它回路供电输出产生影响。</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6.3.2</w:t>
      </w:r>
      <w:r>
        <w:rPr>
          <w:rFonts w:hint="eastAsia" w:ascii="宋体" w:hAnsi="宋体" w:eastAsia="宋体" w:cs="宋体"/>
          <w:color w:val="auto"/>
        </w:rPr>
        <w:t>过压保护</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充电桩连接负载，并设置在额定负载状态下运行，调整输入电源电压超过输入过压保护动作值时，设备输入过压保护应启动，立即切断输出并且发出告警提示。</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6.3.3</w:t>
      </w:r>
      <w:r>
        <w:rPr>
          <w:rFonts w:hint="eastAsia" w:ascii="宋体" w:hAnsi="宋体" w:eastAsia="宋体" w:cs="宋体"/>
          <w:color w:val="auto"/>
        </w:rPr>
        <w:t>欠压保护</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充电桩连接负载，并设置在额定负载状态下运行，调整输入电源电压低于输入过压保护动作值时，设备输入欠压保护应启动，立即切断输出并且发出告警提示。</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6.3.4</w:t>
      </w:r>
      <w:r>
        <w:rPr>
          <w:rFonts w:hint="eastAsia" w:ascii="宋体" w:hAnsi="宋体" w:eastAsia="宋体" w:cs="宋体"/>
          <w:color w:val="auto"/>
        </w:rPr>
        <w:t>过充保护</w:t>
      </w:r>
    </w:p>
    <w:p>
      <w:pPr>
        <w:spacing w:line="360" w:lineRule="auto"/>
        <w:ind w:firstLine="480"/>
        <w:rPr>
          <w:rFonts w:hint="eastAsia" w:ascii="宋体" w:hAnsi="宋体" w:eastAsia="宋体" w:cs="宋体"/>
          <w:color w:val="auto"/>
        </w:rPr>
      </w:pPr>
      <w:r>
        <w:rPr>
          <w:rFonts w:hint="eastAsia" w:ascii="宋体" w:hAnsi="宋体" w:eastAsia="宋体" w:cs="宋体"/>
          <w:color w:val="auto"/>
        </w:rPr>
        <w:t>用充电桩给电动自行车进行充电，充电超过10h后应能自动断电。</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6.3.5</w:t>
      </w:r>
      <w:r>
        <w:rPr>
          <w:rFonts w:hint="eastAsia" w:ascii="宋体" w:hAnsi="宋体" w:eastAsia="宋体" w:cs="宋体"/>
          <w:color w:val="auto"/>
        </w:rPr>
        <w:t>短路保护</w:t>
      </w:r>
    </w:p>
    <w:p>
      <w:pPr>
        <w:pStyle w:val="24"/>
        <w:numPr>
          <w:ilvl w:val="0"/>
          <w:numId w:val="8"/>
        </w:numPr>
        <w:spacing w:line="360" w:lineRule="auto"/>
        <w:ind w:firstLineChars="0"/>
        <w:rPr>
          <w:rFonts w:hint="eastAsia" w:ascii="宋体" w:hAnsi="宋体" w:eastAsia="宋体" w:cs="宋体"/>
          <w:color w:val="auto"/>
        </w:rPr>
      </w:pPr>
      <w:r>
        <w:rPr>
          <w:rFonts w:hint="eastAsia" w:ascii="宋体" w:hAnsi="宋体" w:eastAsia="宋体" w:cs="宋体"/>
          <w:color w:val="auto"/>
        </w:rPr>
        <w:t>启动前的短路保护：将其中一路电源模块输出端正负极进行短接，开启充电机，检测是否不启动。</w:t>
      </w:r>
    </w:p>
    <w:p>
      <w:pPr>
        <w:pStyle w:val="24"/>
        <w:numPr>
          <w:ilvl w:val="0"/>
          <w:numId w:val="8"/>
        </w:numPr>
        <w:spacing w:line="360" w:lineRule="auto"/>
        <w:ind w:firstLineChars="0"/>
        <w:rPr>
          <w:rFonts w:hint="eastAsia" w:ascii="宋体" w:hAnsi="宋体" w:eastAsia="宋体" w:cs="宋体"/>
          <w:color w:val="auto"/>
        </w:rPr>
      </w:pPr>
      <w:r>
        <w:rPr>
          <w:rFonts w:hint="eastAsia" w:ascii="宋体" w:hAnsi="宋体" w:eastAsia="宋体" w:cs="宋体"/>
          <w:color w:val="auto"/>
        </w:rPr>
        <w:t>工作过程中的短路保护：开启任意一路电源模块，使其处于工作状态，将电源模块输出端正负极进行短接，检测是否关闭输出。</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6.3.6</w:t>
      </w:r>
      <w:r>
        <w:rPr>
          <w:rFonts w:hint="eastAsia" w:ascii="宋体" w:hAnsi="宋体" w:eastAsia="宋体" w:cs="宋体"/>
          <w:color w:val="auto"/>
        </w:rPr>
        <w:t>高温保护</w:t>
      </w:r>
    </w:p>
    <w:p>
      <w:pPr>
        <w:spacing w:line="360" w:lineRule="auto"/>
        <w:ind w:firstLine="480"/>
        <w:rPr>
          <w:rFonts w:hint="eastAsia" w:ascii="宋体" w:hAnsi="宋体" w:eastAsia="宋体" w:cs="宋体"/>
          <w:color w:val="auto"/>
        </w:rPr>
      </w:pPr>
      <w:r>
        <w:rPr>
          <w:rFonts w:hint="eastAsia" w:ascii="宋体" w:hAnsi="宋体" w:eastAsia="宋体" w:cs="宋体"/>
          <w:color w:val="auto"/>
        </w:rPr>
        <w:t>开启电源模块使其处于工作状态，提高电源模块温度监测点的温度，使其超过65℃，充电桩是否停止运行，监测点温度恢复正常后，是否正常工作。</w:t>
      </w:r>
    </w:p>
    <w:p>
      <w:pPr>
        <w:pStyle w:val="4"/>
        <w:spacing w:line="360" w:lineRule="auto"/>
        <w:ind w:left="0"/>
        <w:rPr>
          <w:rFonts w:hint="eastAsia" w:ascii="宋体" w:hAnsi="宋体" w:eastAsia="宋体" w:cs="宋体"/>
          <w:bCs/>
          <w:color w:val="auto"/>
        </w:rPr>
      </w:pPr>
      <w:r>
        <w:rPr>
          <w:rFonts w:hint="eastAsia" w:ascii="宋体" w:hAnsi="宋体" w:eastAsia="宋体" w:cs="宋体"/>
          <w:bCs/>
          <w:color w:val="auto"/>
          <w:lang w:val="en-US" w:eastAsia="zh-CN"/>
        </w:rPr>
        <w:t>6.3.7</w:t>
      </w:r>
      <w:r>
        <w:rPr>
          <w:rFonts w:hint="eastAsia" w:ascii="宋体" w:hAnsi="宋体" w:eastAsia="宋体" w:cs="宋体"/>
          <w:bCs/>
          <w:color w:val="auto"/>
        </w:rPr>
        <w:t>保护门</w:t>
      </w:r>
    </w:p>
    <w:p>
      <w:pPr>
        <w:spacing w:line="360" w:lineRule="auto"/>
        <w:ind w:firstLine="480"/>
        <w:rPr>
          <w:rFonts w:hint="eastAsia" w:ascii="宋体" w:hAnsi="宋体" w:eastAsia="宋体" w:cs="宋体"/>
          <w:color w:val="auto"/>
          <w:lang w:val="en-GB"/>
        </w:rPr>
      </w:pPr>
      <w:r>
        <w:rPr>
          <w:rFonts w:hint="eastAsia" w:ascii="宋体" w:hAnsi="宋体" w:eastAsia="宋体" w:cs="宋体"/>
          <w:color w:val="auto"/>
          <w:lang w:val="en-GB"/>
        </w:rPr>
        <w:t>按照GB 2099.1-2008中10.5的规定的方法进行测试，探针施加到仅与带电插座对应的插入孔，应不接触到带电部件；插头被拔出时，带电插套能自动被遮闭。</w:t>
      </w:r>
    </w:p>
    <w:p>
      <w:pPr>
        <w:pStyle w:val="4"/>
        <w:spacing w:line="360" w:lineRule="auto"/>
        <w:ind w:left="0"/>
        <w:rPr>
          <w:rFonts w:hint="eastAsia" w:ascii="宋体" w:hAnsi="宋体" w:eastAsia="宋体" w:cs="宋体"/>
          <w:bCs/>
          <w:color w:val="auto"/>
        </w:rPr>
      </w:pPr>
      <w:r>
        <w:rPr>
          <w:rFonts w:hint="eastAsia" w:ascii="宋体" w:hAnsi="宋体" w:eastAsia="宋体" w:cs="宋体"/>
          <w:bCs/>
          <w:color w:val="auto"/>
          <w:lang w:val="en-US" w:eastAsia="zh-CN"/>
        </w:rPr>
        <w:t>6.3.8</w:t>
      </w:r>
      <w:r>
        <w:rPr>
          <w:rFonts w:hint="eastAsia" w:ascii="宋体" w:hAnsi="宋体" w:eastAsia="宋体" w:cs="宋体"/>
          <w:bCs/>
          <w:color w:val="auto"/>
        </w:rPr>
        <w:t>漏电保护</w:t>
      </w:r>
    </w:p>
    <w:p>
      <w:pPr>
        <w:spacing w:line="360" w:lineRule="auto"/>
        <w:ind w:firstLine="480"/>
        <w:rPr>
          <w:rFonts w:hint="eastAsia" w:ascii="宋体" w:hAnsi="宋体" w:eastAsia="宋体" w:cs="宋体"/>
          <w:color w:val="auto"/>
          <w:lang w:val="en-GB"/>
        </w:rPr>
      </w:pPr>
      <w:r>
        <w:rPr>
          <w:rFonts w:hint="eastAsia" w:ascii="宋体" w:hAnsi="宋体" w:eastAsia="宋体" w:cs="宋体"/>
          <w:color w:val="auto"/>
          <w:lang w:val="en-GB"/>
        </w:rPr>
        <w:t>开启设备，工作在额定状态，开启任意一路电源模块，使其正常输入，接入电阻模拟发生漏电故障，漏电流介于20mA</w:t>
      </w:r>
      <w:r>
        <w:rPr>
          <w:rFonts w:hint="eastAsia" w:ascii="宋体" w:hAnsi="宋体" w:eastAsia="宋体" w:cs="宋体"/>
          <w:color w:val="auto"/>
        </w:rPr>
        <w:t>～</w:t>
      </w:r>
      <w:r>
        <w:rPr>
          <w:rFonts w:hint="eastAsia" w:ascii="宋体" w:hAnsi="宋体" w:eastAsia="宋体" w:cs="宋体"/>
          <w:color w:val="auto"/>
          <w:lang w:val="en-GB"/>
        </w:rPr>
        <w:t>30mA之间，分路保护应立即启动，动作时间小于0.1s。</w:t>
      </w:r>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6.3.9</w:t>
      </w:r>
      <w:r>
        <w:rPr>
          <w:rFonts w:hint="eastAsia" w:ascii="宋体" w:hAnsi="宋体" w:eastAsia="宋体" w:cs="宋体"/>
          <w:color w:val="auto"/>
        </w:rPr>
        <w:t>粘连检测</w:t>
      </w:r>
    </w:p>
    <w:p>
      <w:pPr>
        <w:spacing w:line="360" w:lineRule="auto"/>
        <w:ind w:firstLine="480"/>
        <w:rPr>
          <w:rFonts w:hint="eastAsia" w:ascii="宋体" w:hAnsi="宋体" w:eastAsia="宋体" w:cs="宋体"/>
          <w:color w:val="auto"/>
          <w:lang w:val="en-GB"/>
        </w:rPr>
      </w:pPr>
      <w:r>
        <w:rPr>
          <w:rFonts w:hint="eastAsia" w:ascii="宋体" w:hAnsi="宋体" w:eastAsia="宋体" w:cs="宋体"/>
          <w:color w:val="auto"/>
          <w:lang w:val="en-GB"/>
        </w:rPr>
        <w:t>设备上电前，在任意输出分路接入220V交流电源，模拟设备继电器发生粘连。设备上电，应能正确指示该分路状态异常。</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6.3.10</w:t>
      </w:r>
      <w:r>
        <w:rPr>
          <w:rFonts w:hint="eastAsia" w:ascii="宋体" w:hAnsi="宋体" w:eastAsia="宋体" w:cs="宋体"/>
          <w:color w:val="auto"/>
        </w:rPr>
        <w:t>绝缘电阻</w:t>
      </w:r>
    </w:p>
    <w:p>
      <w:pPr>
        <w:spacing w:line="360" w:lineRule="auto"/>
        <w:ind w:firstLine="480"/>
        <w:rPr>
          <w:rFonts w:hint="eastAsia" w:ascii="宋体" w:hAnsi="宋体" w:eastAsia="宋体" w:cs="宋体"/>
          <w:color w:val="auto"/>
        </w:rPr>
      </w:pPr>
      <w:r>
        <w:rPr>
          <w:rFonts w:hint="eastAsia" w:ascii="宋体" w:hAnsi="宋体" w:eastAsia="宋体" w:cs="宋体"/>
          <w:color w:val="auto"/>
        </w:rPr>
        <w:t>用耐压等级为500V的绝缘电阻测试仪检测充电桩内电路板与结构外壳的绝缘电阻，充电桩的各独立电路与地（外壳）以及各独立电路之间的绝缘电阻应不小于10MΩ。</w:t>
      </w:r>
    </w:p>
    <w:p>
      <w:pPr>
        <w:pStyle w:val="4"/>
        <w:spacing w:line="360" w:lineRule="auto"/>
        <w:ind w:left="0"/>
        <w:rPr>
          <w:rFonts w:hint="eastAsia" w:ascii="宋体" w:hAnsi="宋体" w:eastAsia="宋体" w:cs="宋体"/>
          <w:b/>
          <w:color w:val="auto"/>
        </w:rPr>
      </w:pPr>
      <w:r>
        <w:rPr>
          <w:rFonts w:hint="eastAsia" w:ascii="宋体" w:hAnsi="宋体" w:eastAsia="宋体" w:cs="宋体"/>
          <w:color w:val="auto"/>
          <w:lang w:val="en-US" w:eastAsia="zh-CN"/>
        </w:rPr>
        <w:t>6.3.11</w:t>
      </w:r>
      <w:r>
        <w:rPr>
          <w:rFonts w:hint="eastAsia" w:ascii="宋体" w:hAnsi="宋体" w:eastAsia="宋体" w:cs="宋体"/>
          <w:color w:val="auto"/>
        </w:rPr>
        <w:t>抗电强度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抗电强度按GB 4706.1-2005中13.3规定的方法进行测试，试验电压为3000V，频率50Hz，时间1min，试验后不应出现绝缘击穿或闪络现象。</w:t>
      </w:r>
    </w:p>
    <w:p>
      <w:pPr>
        <w:pStyle w:val="4"/>
        <w:spacing w:line="360" w:lineRule="auto"/>
        <w:ind w:left="0"/>
        <w:rPr>
          <w:rFonts w:hint="eastAsia" w:ascii="宋体" w:hAnsi="宋体" w:eastAsia="宋体" w:cs="宋体"/>
          <w:b/>
          <w:bCs/>
          <w:color w:val="auto"/>
        </w:rPr>
      </w:pPr>
      <w:bookmarkStart w:id="18" w:name="_Toc19090548"/>
      <w:bookmarkStart w:id="19" w:name="bookmark116"/>
      <w:bookmarkStart w:id="20" w:name="bookmark117"/>
      <w:bookmarkStart w:id="21" w:name="bookmark118"/>
      <w:r>
        <w:rPr>
          <w:rFonts w:hint="eastAsia" w:ascii="宋体" w:hAnsi="宋体" w:eastAsia="宋体" w:cs="宋体"/>
          <w:color w:val="auto"/>
          <w:lang w:val="en-US" w:eastAsia="zh-CN"/>
        </w:rPr>
        <w:t>6.3.12</w:t>
      </w:r>
      <w:r>
        <w:rPr>
          <w:rFonts w:hint="eastAsia" w:ascii="宋体" w:hAnsi="宋体" w:eastAsia="宋体" w:cs="宋体"/>
          <w:color w:val="auto"/>
        </w:rPr>
        <w:t>泄漏电流</w:t>
      </w:r>
      <w:bookmarkEnd w:id="18"/>
    </w:p>
    <w:p>
      <w:pPr>
        <w:spacing w:line="360" w:lineRule="auto"/>
        <w:ind w:firstLine="480"/>
        <w:rPr>
          <w:rFonts w:hint="eastAsia" w:ascii="宋体" w:hAnsi="宋体" w:eastAsia="宋体" w:cs="宋体"/>
          <w:color w:val="auto"/>
        </w:rPr>
      </w:pPr>
      <w:r>
        <w:rPr>
          <w:rFonts w:hint="eastAsia" w:ascii="宋体" w:hAnsi="宋体" w:eastAsia="宋体" w:cs="宋体"/>
          <w:color w:val="auto"/>
        </w:rPr>
        <w:t>按照GB 18487.3-2001中10.2的规定进行泄漏电流试验，充电桩泄漏电流应不超过0.25mA。</w:t>
      </w:r>
      <w:bookmarkStart w:id="22" w:name="_Toc19090552"/>
    </w:p>
    <w:bookmarkEnd w:id="22"/>
    <w:p>
      <w:pPr>
        <w:pStyle w:val="2"/>
        <w:numPr>
          <w:ilvl w:val="0"/>
          <w:numId w:val="0"/>
        </w:numPr>
        <w:spacing w:before="163" w:after="163" w:line="360" w:lineRule="auto"/>
        <w:rPr>
          <w:rFonts w:hint="eastAsia" w:ascii="宋体" w:hAnsi="宋体" w:eastAsia="宋体" w:cs="宋体"/>
          <w:color w:val="auto"/>
        </w:rPr>
      </w:pPr>
      <w:r>
        <w:rPr>
          <w:rFonts w:hint="eastAsia" w:ascii="宋体" w:hAnsi="宋体" w:eastAsia="宋体" w:cs="宋体"/>
          <w:color w:val="auto"/>
          <w:lang w:val="en-US" w:eastAsia="zh-CN"/>
        </w:rPr>
        <w:t>6.4</w:t>
      </w:r>
      <w:r>
        <w:rPr>
          <w:rFonts w:hint="eastAsia" w:ascii="宋体" w:hAnsi="宋体" w:eastAsia="宋体" w:cs="宋体"/>
          <w:color w:val="auto"/>
        </w:rPr>
        <w:t>防雷与接地</w:t>
      </w:r>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6.4.1</w:t>
      </w:r>
      <w:r>
        <w:rPr>
          <w:rFonts w:hint="eastAsia" w:ascii="宋体" w:hAnsi="宋体" w:eastAsia="宋体" w:cs="宋体"/>
          <w:color w:val="auto"/>
        </w:rPr>
        <w:t>防雷保护</w:t>
      </w:r>
    </w:p>
    <w:p>
      <w:pPr>
        <w:spacing w:line="360" w:lineRule="auto"/>
        <w:ind w:firstLine="480"/>
        <w:rPr>
          <w:rFonts w:hint="eastAsia" w:ascii="宋体" w:hAnsi="宋体" w:eastAsia="宋体" w:cs="宋体"/>
          <w:color w:val="auto"/>
          <w:lang w:val="en-GB"/>
        </w:rPr>
      </w:pPr>
      <w:r>
        <w:rPr>
          <w:rFonts w:hint="eastAsia" w:ascii="宋体" w:hAnsi="宋体" w:eastAsia="宋体" w:cs="宋体"/>
          <w:color w:val="auto"/>
        </w:rPr>
        <w:t>按照GB/T 17626.5-2019中8.3的要求进行试验，设备的防雷性能应能达到标准中要求的3级或以上。</w:t>
      </w:r>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6.4.2</w:t>
      </w:r>
      <w:r>
        <w:rPr>
          <w:rFonts w:hint="eastAsia" w:ascii="宋体" w:hAnsi="宋体" w:eastAsia="宋体" w:cs="宋体"/>
          <w:color w:val="auto"/>
        </w:rPr>
        <w:t>接地保护</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非绝缘材料外壳的接地电阻应通过电桥、接地电阻试验仪或数字式低电阻试验仪测量，充电桩非绝缘材料外壳任意应该接地的点至总接地之间的电阻不应大于0.1Ω，测量点不应少于3个。如果测量点涂敷有防腐漆，需将防腐漆刮去，露出非绝缘材料后再进行试验。接地端子应有明显的标志。</w:t>
      </w:r>
    </w:p>
    <w:p>
      <w:pPr>
        <w:pStyle w:val="2"/>
        <w:numPr>
          <w:ilvl w:val="0"/>
          <w:numId w:val="0"/>
        </w:numPr>
        <w:spacing w:before="163" w:after="163" w:line="360" w:lineRule="auto"/>
        <w:rPr>
          <w:rFonts w:hint="eastAsia" w:ascii="宋体" w:hAnsi="宋体" w:eastAsia="宋体" w:cs="宋体"/>
          <w:color w:val="auto"/>
        </w:rPr>
      </w:pPr>
      <w:bookmarkStart w:id="23" w:name="_Toc19090553"/>
      <w:r>
        <w:rPr>
          <w:rFonts w:hint="eastAsia" w:ascii="宋体" w:hAnsi="宋体" w:eastAsia="宋体" w:cs="宋体"/>
          <w:color w:val="auto"/>
          <w:lang w:val="en-US" w:eastAsia="zh-CN"/>
        </w:rPr>
        <w:t>6.5</w:t>
      </w:r>
      <w:r>
        <w:rPr>
          <w:rFonts w:hint="eastAsia" w:ascii="宋体" w:hAnsi="宋体" w:eastAsia="宋体" w:cs="宋体"/>
          <w:color w:val="auto"/>
        </w:rPr>
        <w:t>电磁兼容</w:t>
      </w:r>
      <w:bookmarkEnd w:id="23"/>
    </w:p>
    <w:p>
      <w:pPr>
        <w:pStyle w:val="4"/>
        <w:spacing w:line="360" w:lineRule="auto"/>
        <w:ind w:left="0"/>
        <w:rPr>
          <w:rFonts w:hint="eastAsia" w:ascii="宋体" w:hAnsi="宋体" w:eastAsia="宋体" w:cs="宋体"/>
          <w:b/>
          <w:bCs/>
          <w:color w:val="auto"/>
        </w:rPr>
      </w:pPr>
      <w:bookmarkStart w:id="24" w:name="_Toc19090554"/>
      <w:r>
        <w:rPr>
          <w:rFonts w:hint="eastAsia" w:ascii="宋体" w:hAnsi="宋体" w:eastAsia="宋体" w:cs="宋体"/>
          <w:color w:val="auto"/>
          <w:lang w:val="en-US" w:eastAsia="zh-CN"/>
        </w:rPr>
        <w:t>6.5.1</w:t>
      </w:r>
      <w:r>
        <w:rPr>
          <w:rFonts w:hint="eastAsia" w:ascii="宋体" w:hAnsi="宋体" w:eastAsia="宋体" w:cs="宋体"/>
          <w:color w:val="auto"/>
        </w:rPr>
        <w:t>传导</w:t>
      </w:r>
      <w:bookmarkEnd w:id="24"/>
      <w:r>
        <w:rPr>
          <w:rFonts w:hint="eastAsia" w:ascii="宋体" w:hAnsi="宋体" w:eastAsia="宋体" w:cs="宋体"/>
          <w:color w:val="auto"/>
        </w:rPr>
        <w:t>骚扰限值</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充电桩连接负载，并设置在额定负载状态下运行，按照GB 9254-2016的规定并在下述条件下进行试验：</w:t>
      </w:r>
    </w:p>
    <w:p>
      <w:pPr>
        <w:spacing w:line="360" w:lineRule="auto"/>
        <w:ind w:firstLine="480"/>
        <w:rPr>
          <w:rFonts w:hint="eastAsia" w:ascii="宋体" w:hAnsi="宋体" w:eastAsia="宋体" w:cs="宋体"/>
          <w:color w:val="auto"/>
        </w:rPr>
      </w:pPr>
      <w:r>
        <w:rPr>
          <w:rFonts w:hint="eastAsia" w:ascii="宋体" w:hAnsi="宋体" w:eastAsia="宋体" w:cs="宋体"/>
          <w:color w:val="auto"/>
        </w:rPr>
        <w:t>测试频段：150kHz～30MHz；</w:t>
      </w:r>
    </w:p>
    <w:p>
      <w:pPr>
        <w:spacing w:line="360" w:lineRule="auto"/>
        <w:ind w:firstLine="480"/>
        <w:rPr>
          <w:rFonts w:hint="eastAsia" w:ascii="宋体" w:hAnsi="宋体" w:eastAsia="宋体" w:cs="宋体"/>
          <w:color w:val="auto"/>
        </w:rPr>
      </w:pPr>
      <w:r>
        <w:rPr>
          <w:rFonts w:hint="eastAsia" w:ascii="宋体" w:hAnsi="宋体" w:eastAsia="宋体" w:cs="宋体"/>
          <w:color w:val="auto"/>
        </w:rPr>
        <w:t>测试端口：输入、输出电源的端口、信号线。</w:t>
      </w:r>
    </w:p>
    <w:p>
      <w:pPr>
        <w:spacing w:line="360" w:lineRule="auto"/>
        <w:ind w:firstLine="480"/>
        <w:rPr>
          <w:rFonts w:hint="eastAsia" w:ascii="宋体" w:hAnsi="宋体" w:eastAsia="宋体" w:cs="宋体"/>
          <w:color w:val="auto"/>
        </w:rPr>
      </w:pPr>
      <w:r>
        <w:rPr>
          <w:rFonts w:hint="eastAsia" w:ascii="宋体" w:hAnsi="宋体" w:eastAsia="宋体" w:cs="宋体"/>
          <w:color w:val="auto"/>
        </w:rPr>
        <w:t>结果应该满足GB9254-2016 B类限值要求。</w:t>
      </w:r>
    </w:p>
    <w:p>
      <w:pPr>
        <w:pStyle w:val="4"/>
        <w:spacing w:line="360" w:lineRule="auto"/>
        <w:ind w:left="0"/>
        <w:rPr>
          <w:rFonts w:hint="eastAsia" w:ascii="宋体" w:hAnsi="宋体" w:eastAsia="宋体" w:cs="宋体"/>
          <w:color w:val="auto"/>
        </w:rPr>
      </w:pPr>
      <w:r>
        <w:rPr>
          <w:rFonts w:hint="eastAsia" w:ascii="宋体" w:hAnsi="宋体" w:eastAsia="宋体" w:cs="宋体"/>
          <w:color w:val="auto"/>
          <w:lang w:val="en-US" w:eastAsia="zh-CN"/>
        </w:rPr>
        <w:t>6.5.2</w:t>
      </w:r>
      <w:r>
        <w:rPr>
          <w:rFonts w:hint="eastAsia" w:ascii="宋体" w:hAnsi="宋体" w:eastAsia="宋体" w:cs="宋体"/>
          <w:color w:val="auto"/>
        </w:rPr>
        <w:t>辐射骚扰限值</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充电桩连接负载，并设置在额定负载状态下运行，按照GB 9254-2016的规定并在下述条件下进行试验，结果应该满足GB 9254-2016类限值要求。</w:t>
      </w:r>
    </w:p>
    <w:p>
      <w:pPr>
        <w:pStyle w:val="4"/>
        <w:spacing w:line="360" w:lineRule="auto"/>
        <w:ind w:left="0"/>
        <w:rPr>
          <w:rFonts w:hint="eastAsia" w:ascii="宋体" w:hAnsi="宋体" w:eastAsia="宋体" w:cs="宋体"/>
          <w:color w:val="auto"/>
        </w:rPr>
      </w:pPr>
      <w:bookmarkStart w:id="25" w:name="_Toc19090555"/>
      <w:r>
        <w:rPr>
          <w:rFonts w:hint="eastAsia" w:ascii="宋体" w:hAnsi="宋体" w:eastAsia="宋体" w:cs="宋体"/>
          <w:color w:val="auto"/>
          <w:lang w:val="en-US" w:eastAsia="zh-CN"/>
        </w:rPr>
        <w:t>6.5.3</w:t>
      </w:r>
      <w:r>
        <w:rPr>
          <w:rFonts w:hint="eastAsia" w:ascii="宋体" w:hAnsi="宋体" w:eastAsia="宋体" w:cs="宋体"/>
          <w:color w:val="auto"/>
        </w:rPr>
        <w:t>抗扰度测试</w:t>
      </w:r>
      <w:bookmarkEnd w:id="25"/>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GB"/>
        </w:rPr>
        <w:t>①静电放电抗扰度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充电桩可在空载状态下运行，按照GB/T 17626.2-2018的规定并在下述条件下进行试验：</w:t>
      </w:r>
    </w:p>
    <w:p>
      <w:pPr>
        <w:pStyle w:val="24"/>
        <w:numPr>
          <w:ilvl w:val="0"/>
          <w:numId w:val="9"/>
        </w:numPr>
        <w:spacing w:line="360" w:lineRule="auto"/>
        <w:ind w:firstLineChars="0"/>
        <w:rPr>
          <w:rFonts w:hint="eastAsia" w:ascii="宋体" w:hAnsi="宋体" w:eastAsia="宋体" w:cs="宋体"/>
          <w:color w:val="auto"/>
        </w:rPr>
      </w:pPr>
      <w:r>
        <w:rPr>
          <w:rFonts w:hint="eastAsia" w:ascii="宋体" w:hAnsi="宋体" w:eastAsia="宋体" w:cs="宋体"/>
          <w:color w:val="auto"/>
        </w:rPr>
        <w:t>严酷等级3；</w:t>
      </w:r>
    </w:p>
    <w:p>
      <w:pPr>
        <w:pStyle w:val="24"/>
        <w:numPr>
          <w:ilvl w:val="0"/>
          <w:numId w:val="9"/>
        </w:numPr>
        <w:spacing w:line="360" w:lineRule="auto"/>
        <w:ind w:firstLineChars="0"/>
        <w:rPr>
          <w:rFonts w:hint="eastAsia" w:ascii="宋体" w:hAnsi="宋体" w:eastAsia="宋体" w:cs="宋体"/>
          <w:color w:val="auto"/>
        </w:rPr>
      </w:pPr>
      <w:r>
        <w:rPr>
          <w:rFonts w:hint="eastAsia" w:ascii="宋体" w:hAnsi="宋体" w:eastAsia="宋体" w:cs="宋体"/>
          <w:color w:val="auto"/>
        </w:rPr>
        <w:t>试验电压：接触放电6kV，空气放电8kV；</w:t>
      </w:r>
    </w:p>
    <w:p>
      <w:pPr>
        <w:pStyle w:val="24"/>
        <w:numPr>
          <w:ilvl w:val="0"/>
          <w:numId w:val="9"/>
        </w:numPr>
        <w:spacing w:line="360" w:lineRule="auto"/>
        <w:ind w:firstLineChars="0"/>
        <w:rPr>
          <w:rFonts w:hint="eastAsia" w:ascii="宋体" w:hAnsi="宋体" w:eastAsia="宋体" w:cs="宋体"/>
          <w:color w:val="auto"/>
        </w:rPr>
      </w:pPr>
      <w:r>
        <w:rPr>
          <w:rFonts w:hint="eastAsia" w:ascii="宋体" w:hAnsi="宋体" w:eastAsia="宋体" w:cs="宋体"/>
          <w:color w:val="auto"/>
        </w:rPr>
        <w:t>直接放电，施加部位：在操作人员正常使用时可能接触的外壳和操作部分，包含通讯接口；</w:t>
      </w:r>
    </w:p>
    <w:p>
      <w:pPr>
        <w:pStyle w:val="24"/>
        <w:numPr>
          <w:ilvl w:val="0"/>
          <w:numId w:val="9"/>
        </w:numPr>
        <w:spacing w:line="360" w:lineRule="auto"/>
        <w:ind w:firstLineChars="0"/>
        <w:rPr>
          <w:rFonts w:hint="eastAsia" w:ascii="宋体" w:hAnsi="宋体" w:eastAsia="宋体" w:cs="宋体"/>
          <w:color w:val="auto"/>
        </w:rPr>
      </w:pPr>
      <w:r>
        <w:rPr>
          <w:rFonts w:hint="eastAsia" w:ascii="宋体" w:hAnsi="宋体" w:eastAsia="宋体" w:cs="宋体"/>
          <w:color w:val="auto"/>
        </w:rPr>
        <w:t>如果设备外壳为金属材料，则直接采用接触放电；如果设备外壳为绝缘材料，则直接采用空气放电。</w:t>
      </w:r>
    </w:p>
    <w:p>
      <w:pPr>
        <w:pStyle w:val="24"/>
        <w:numPr>
          <w:ilvl w:val="0"/>
          <w:numId w:val="9"/>
        </w:numPr>
        <w:spacing w:line="360" w:lineRule="auto"/>
        <w:ind w:firstLineChars="0"/>
        <w:rPr>
          <w:rFonts w:hint="eastAsia" w:ascii="宋体" w:hAnsi="宋体" w:eastAsia="宋体" w:cs="宋体"/>
          <w:color w:val="auto"/>
        </w:rPr>
      </w:pPr>
      <w:r>
        <w:rPr>
          <w:rFonts w:hint="eastAsia" w:ascii="宋体" w:hAnsi="宋体" w:eastAsia="宋体" w:cs="宋体"/>
          <w:color w:val="auto"/>
        </w:rPr>
        <w:t>每个敏感试验点放电次数：正负极性各10次，每次放电间隔至少为1s。</w:t>
      </w:r>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GB"/>
        </w:rPr>
        <w:t>②射频电磁场辐射抗扰度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充电桩可在空载状态下运行，按照GB/T 17626.3-2016的规定并在下述条件下进行试验：</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严酷等级为：3级；</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频率范围：80MHz～1000MHz；</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试验场强：10V/m（非调制）；</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调制方式：正弦波1kHz，80%幅度调制；</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扫描步长：前一频率的1%；</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扫描驻留时间：0.5s或1s；</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测试端口：设备四个侧面；</w:t>
      </w:r>
    </w:p>
    <w:p>
      <w:pPr>
        <w:pStyle w:val="24"/>
        <w:numPr>
          <w:ilvl w:val="0"/>
          <w:numId w:val="10"/>
        </w:numPr>
        <w:spacing w:line="360" w:lineRule="auto"/>
        <w:ind w:firstLineChars="0"/>
        <w:rPr>
          <w:rFonts w:hint="eastAsia" w:ascii="宋体" w:hAnsi="宋体" w:eastAsia="宋体" w:cs="宋体"/>
          <w:color w:val="auto"/>
        </w:rPr>
      </w:pPr>
      <w:r>
        <w:rPr>
          <w:rFonts w:hint="eastAsia" w:ascii="宋体" w:hAnsi="宋体" w:eastAsia="宋体" w:cs="宋体"/>
          <w:color w:val="auto"/>
        </w:rPr>
        <w:t>天线极化方向：水平和垂直方向。</w:t>
      </w:r>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US" w:eastAsia="zh-CN"/>
        </w:rPr>
        <w:t>③</w:t>
      </w:r>
      <w:r>
        <w:rPr>
          <w:rFonts w:hint="eastAsia" w:ascii="宋体" w:hAnsi="宋体" w:eastAsia="宋体" w:cs="宋体"/>
          <w:color w:val="auto"/>
          <w:lang w:val="en-GB"/>
        </w:rPr>
        <w:t>电快速脉冲群抗扰度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充电桩可在空载状态下运行，按照GB/T 17626.4-2018的规定并在下述条件下进行试验：</w:t>
      </w:r>
    </w:p>
    <w:p>
      <w:pPr>
        <w:pStyle w:val="24"/>
        <w:numPr>
          <w:ilvl w:val="0"/>
          <w:numId w:val="11"/>
        </w:numPr>
        <w:spacing w:line="360" w:lineRule="auto"/>
        <w:ind w:firstLineChars="0"/>
        <w:rPr>
          <w:rFonts w:hint="eastAsia" w:ascii="宋体" w:hAnsi="宋体" w:eastAsia="宋体" w:cs="宋体"/>
          <w:color w:val="auto"/>
        </w:rPr>
      </w:pPr>
      <w:r>
        <w:rPr>
          <w:rFonts w:hint="eastAsia" w:ascii="宋体" w:hAnsi="宋体" w:eastAsia="宋体" w:cs="宋体"/>
          <w:color w:val="auto"/>
        </w:rPr>
        <w:t>严酷等级：3级</w:t>
      </w:r>
    </w:p>
    <w:p>
      <w:pPr>
        <w:pStyle w:val="24"/>
        <w:numPr>
          <w:ilvl w:val="0"/>
          <w:numId w:val="11"/>
        </w:numPr>
        <w:spacing w:line="360" w:lineRule="auto"/>
        <w:ind w:firstLineChars="0"/>
        <w:rPr>
          <w:rFonts w:hint="eastAsia" w:ascii="宋体" w:hAnsi="宋体" w:eastAsia="宋体" w:cs="宋体"/>
          <w:color w:val="auto"/>
        </w:rPr>
      </w:pPr>
      <w:r>
        <w:rPr>
          <w:rFonts w:hint="eastAsia" w:ascii="宋体" w:hAnsi="宋体" w:eastAsia="宋体" w:cs="宋体"/>
          <w:color w:val="auto"/>
        </w:rPr>
        <w:t>试验电压：±2kV（电源线），±lkV（信号线）；</w:t>
      </w:r>
    </w:p>
    <w:p>
      <w:pPr>
        <w:pStyle w:val="24"/>
        <w:numPr>
          <w:ilvl w:val="0"/>
          <w:numId w:val="11"/>
        </w:numPr>
        <w:spacing w:line="360" w:lineRule="auto"/>
        <w:ind w:firstLineChars="0"/>
        <w:rPr>
          <w:rFonts w:hint="eastAsia" w:ascii="宋体" w:hAnsi="宋体" w:eastAsia="宋体" w:cs="宋体"/>
          <w:color w:val="auto"/>
        </w:rPr>
      </w:pPr>
      <w:r>
        <w:rPr>
          <w:rFonts w:hint="eastAsia" w:ascii="宋体" w:hAnsi="宋体" w:eastAsia="宋体" w:cs="宋体"/>
          <w:color w:val="auto"/>
        </w:rPr>
        <w:t>测试端口：输入、输出电源的端口、信号线；</w:t>
      </w:r>
    </w:p>
    <w:p>
      <w:pPr>
        <w:pStyle w:val="24"/>
        <w:numPr>
          <w:ilvl w:val="0"/>
          <w:numId w:val="11"/>
        </w:numPr>
        <w:spacing w:line="360" w:lineRule="auto"/>
        <w:ind w:firstLineChars="0"/>
        <w:rPr>
          <w:rFonts w:hint="eastAsia" w:ascii="宋体" w:hAnsi="宋体" w:eastAsia="宋体" w:cs="宋体"/>
          <w:color w:val="auto"/>
        </w:rPr>
      </w:pPr>
      <w:r>
        <w:rPr>
          <w:rFonts w:hint="eastAsia" w:ascii="宋体" w:hAnsi="宋体" w:eastAsia="宋体" w:cs="宋体"/>
          <w:color w:val="auto"/>
        </w:rPr>
        <w:t>重复频率：5kHz；</w:t>
      </w:r>
    </w:p>
    <w:p>
      <w:pPr>
        <w:pStyle w:val="24"/>
        <w:numPr>
          <w:ilvl w:val="0"/>
          <w:numId w:val="11"/>
        </w:numPr>
        <w:spacing w:line="360" w:lineRule="auto"/>
        <w:ind w:firstLineChars="0"/>
        <w:rPr>
          <w:rFonts w:hint="eastAsia" w:ascii="宋体" w:hAnsi="宋体" w:eastAsia="宋体" w:cs="宋体"/>
          <w:color w:val="auto"/>
        </w:rPr>
      </w:pPr>
      <w:r>
        <w:rPr>
          <w:rFonts w:hint="eastAsia" w:ascii="宋体" w:hAnsi="宋体" w:eastAsia="宋体" w:cs="宋体"/>
          <w:color w:val="auto"/>
        </w:rPr>
        <w:t>持续时间：1min。</w:t>
      </w:r>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GB"/>
        </w:rPr>
        <w:t>④浪涌（冲击）抗扰度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 GB/T 17626.5-2019的规定并在下述条件下进行试验：</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严酷等级3；</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试验电压：土2kV（输入电源L/N对地），±1kV（输入电源L对N），±1kV（对其他端口）；</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波形：对于对称通讯线端口：开路电压70/700μs，短路电流为5/320μs的组合波；对于其他端口：开路电压1.2/50μs、短路电流为8/20μs的组合波。</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施加相位角：0°、90°、180°、270°；</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极性：正、负；</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试验次数：正负极性各5次；</w:t>
      </w:r>
    </w:p>
    <w:p>
      <w:pPr>
        <w:pStyle w:val="28"/>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t>重复率：20s，可根据浪涌保护装置配置适当延长，但不应超过1分钟。</w:t>
      </w:r>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GB"/>
        </w:rPr>
        <w:t>⑤射频场感应的传导骚扰抗扰度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充电桩可在空载状态下运行，按照GB/T 17626.6-2017的规定并在下述条件下进行试验：</w:t>
      </w:r>
    </w:p>
    <w:p>
      <w:pPr>
        <w:pStyle w:val="28"/>
        <w:numPr>
          <w:ilvl w:val="0"/>
          <w:numId w:val="13"/>
        </w:numPr>
        <w:spacing w:line="360" w:lineRule="auto"/>
        <w:rPr>
          <w:rFonts w:hint="eastAsia" w:ascii="宋体" w:hAnsi="宋体" w:eastAsia="宋体" w:cs="宋体"/>
          <w:color w:val="auto"/>
        </w:rPr>
      </w:pPr>
      <w:r>
        <w:rPr>
          <w:rFonts w:hint="eastAsia" w:ascii="宋体" w:hAnsi="宋体" w:eastAsia="宋体" w:cs="宋体"/>
          <w:color w:val="auto"/>
        </w:rPr>
        <w:t>频率范围：0.15MHz～80MHz；</w:t>
      </w:r>
    </w:p>
    <w:p>
      <w:pPr>
        <w:pStyle w:val="28"/>
        <w:numPr>
          <w:ilvl w:val="0"/>
          <w:numId w:val="13"/>
        </w:numPr>
        <w:spacing w:line="360" w:lineRule="auto"/>
        <w:rPr>
          <w:rFonts w:hint="eastAsia" w:ascii="宋体" w:hAnsi="宋体" w:eastAsia="宋体" w:cs="宋体"/>
          <w:color w:val="auto"/>
        </w:rPr>
      </w:pPr>
      <w:r>
        <w:rPr>
          <w:rFonts w:hint="eastAsia" w:ascii="宋体" w:hAnsi="宋体" w:eastAsia="宋体" w:cs="宋体"/>
          <w:color w:val="auto"/>
        </w:rPr>
        <w:t>试验场强：10V/m（非调制）；</w:t>
      </w:r>
    </w:p>
    <w:p>
      <w:pPr>
        <w:pStyle w:val="28"/>
        <w:numPr>
          <w:ilvl w:val="0"/>
          <w:numId w:val="13"/>
        </w:numPr>
        <w:spacing w:line="360" w:lineRule="auto"/>
        <w:rPr>
          <w:rFonts w:hint="eastAsia" w:ascii="宋体" w:hAnsi="宋体" w:eastAsia="宋体" w:cs="宋体"/>
          <w:color w:val="auto"/>
        </w:rPr>
      </w:pPr>
      <w:r>
        <w:rPr>
          <w:rFonts w:hint="eastAsia" w:ascii="宋体" w:hAnsi="宋体" w:eastAsia="宋体" w:cs="宋体"/>
          <w:color w:val="auto"/>
        </w:rPr>
        <w:t>测试端口：输入、输出电源的端口、信号线；</w:t>
      </w:r>
    </w:p>
    <w:p>
      <w:pPr>
        <w:pStyle w:val="28"/>
        <w:numPr>
          <w:ilvl w:val="0"/>
          <w:numId w:val="13"/>
        </w:numPr>
        <w:spacing w:line="360" w:lineRule="auto"/>
        <w:rPr>
          <w:rFonts w:hint="eastAsia" w:ascii="宋体" w:hAnsi="宋体" w:eastAsia="宋体" w:cs="宋体"/>
          <w:color w:val="auto"/>
        </w:rPr>
      </w:pPr>
      <w:r>
        <w:rPr>
          <w:rFonts w:hint="eastAsia" w:ascii="宋体" w:hAnsi="宋体" w:eastAsia="宋体" w:cs="宋体"/>
          <w:color w:val="auto"/>
        </w:rPr>
        <w:t>正弦波1kHz，80%幅度调制；</w:t>
      </w:r>
    </w:p>
    <w:p>
      <w:pPr>
        <w:pStyle w:val="28"/>
        <w:numPr>
          <w:ilvl w:val="0"/>
          <w:numId w:val="13"/>
        </w:numPr>
        <w:spacing w:line="360" w:lineRule="auto"/>
        <w:rPr>
          <w:rFonts w:hint="eastAsia" w:ascii="宋体" w:hAnsi="宋体" w:eastAsia="宋体" w:cs="宋体"/>
          <w:color w:val="auto"/>
        </w:rPr>
      </w:pPr>
      <w:r>
        <w:rPr>
          <w:rFonts w:hint="eastAsia" w:ascii="宋体" w:hAnsi="宋体" w:eastAsia="宋体" w:cs="宋体"/>
          <w:color w:val="auto"/>
        </w:rPr>
        <w:t>扫描步进：≤1%</w:t>
      </w:r>
    </w:p>
    <w:p>
      <w:pPr>
        <w:pStyle w:val="5"/>
        <w:numPr>
          <w:ilvl w:val="3"/>
          <w:numId w:val="0"/>
        </w:numPr>
        <w:spacing w:before="163" w:after="163" w:line="360" w:lineRule="auto"/>
        <w:ind w:left="142" w:leftChars="0"/>
        <w:rPr>
          <w:rFonts w:hint="eastAsia" w:ascii="宋体" w:hAnsi="宋体" w:eastAsia="宋体" w:cs="宋体"/>
          <w:b/>
          <w:color w:val="auto"/>
          <w:lang w:val="en-GB"/>
        </w:rPr>
      </w:pPr>
      <w:r>
        <w:rPr>
          <w:rFonts w:hint="eastAsia" w:ascii="宋体" w:hAnsi="宋体" w:eastAsia="宋体" w:cs="宋体"/>
          <w:color w:val="auto"/>
          <w:lang w:val="en-GB"/>
        </w:rPr>
        <w:t>⑥电压暂降、短时中断抗扰度</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充电桩可在空载状态下运行，按照GB/T 17626.11-2008的规定并在下述条件下进行试验：</w:t>
      </w:r>
    </w:p>
    <w:p>
      <w:pPr>
        <w:pStyle w:val="28"/>
        <w:numPr>
          <w:ilvl w:val="0"/>
          <w:numId w:val="14"/>
        </w:numPr>
        <w:spacing w:line="360" w:lineRule="auto"/>
        <w:rPr>
          <w:rFonts w:hint="eastAsia" w:ascii="宋体" w:hAnsi="宋体" w:eastAsia="宋体" w:cs="宋体"/>
          <w:color w:val="auto"/>
        </w:rPr>
      </w:pPr>
      <w:r>
        <w:rPr>
          <w:rFonts w:hint="eastAsia" w:ascii="宋体" w:hAnsi="宋体" w:eastAsia="宋体" w:cs="宋体"/>
          <w:color w:val="auto"/>
        </w:rPr>
        <w:t>电压暂降级：0%持续0.5周期；0%持续1周期；40%持续10周期；70%持续25周期；80% 持续250周期；</w:t>
      </w:r>
    </w:p>
    <w:p>
      <w:pPr>
        <w:pStyle w:val="28"/>
        <w:numPr>
          <w:ilvl w:val="0"/>
          <w:numId w:val="14"/>
        </w:numPr>
        <w:spacing w:line="360" w:lineRule="auto"/>
        <w:rPr>
          <w:rFonts w:hint="eastAsia" w:ascii="宋体" w:hAnsi="宋体" w:eastAsia="宋体" w:cs="宋体"/>
          <w:color w:val="auto"/>
        </w:rPr>
      </w:pPr>
      <w:r>
        <w:rPr>
          <w:rFonts w:hint="eastAsia" w:ascii="宋体" w:hAnsi="宋体" w:eastAsia="宋体" w:cs="宋体"/>
          <w:color w:val="auto"/>
        </w:rPr>
        <w:t>电压中断严酷级：0%持续250周期；</w:t>
      </w:r>
    </w:p>
    <w:p>
      <w:pPr>
        <w:pStyle w:val="28"/>
        <w:numPr>
          <w:ilvl w:val="0"/>
          <w:numId w:val="14"/>
        </w:numPr>
        <w:spacing w:line="360" w:lineRule="auto"/>
        <w:rPr>
          <w:rFonts w:hint="eastAsia" w:ascii="宋体" w:hAnsi="宋体" w:eastAsia="宋体" w:cs="宋体"/>
          <w:color w:val="auto"/>
        </w:rPr>
      </w:pPr>
      <w:r>
        <w:rPr>
          <w:rFonts w:hint="eastAsia" w:ascii="宋体" w:hAnsi="宋体" w:eastAsia="宋体" w:cs="宋体"/>
          <w:color w:val="auto"/>
        </w:rPr>
        <w:t>测试端口：输入AC电源端口；</w:t>
      </w:r>
    </w:p>
    <w:p>
      <w:pPr>
        <w:pStyle w:val="28"/>
        <w:numPr>
          <w:ilvl w:val="0"/>
          <w:numId w:val="14"/>
        </w:numPr>
        <w:spacing w:line="360" w:lineRule="auto"/>
        <w:rPr>
          <w:rFonts w:hint="eastAsia" w:ascii="宋体" w:hAnsi="宋体" w:eastAsia="宋体" w:cs="宋体"/>
          <w:color w:val="auto"/>
        </w:rPr>
      </w:pPr>
      <w:r>
        <w:rPr>
          <w:rFonts w:hint="eastAsia" w:ascii="宋体" w:hAnsi="宋体" w:eastAsia="宋体" w:cs="宋体"/>
          <w:color w:val="auto"/>
        </w:rPr>
        <w:t>持续时间：10s。</w:t>
      </w:r>
    </w:p>
    <w:p>
      <w:pPr>
        <w:pStyle w:val="2"/>
        <w:numPr>
          <w:ilvl w:val="0"/>
          <w:numId w:val="0"/>
        </w:numPr>
        <w:spacing w:before="163" w:after="163" w:line="360" w:lineRule="auto"/>
        <w:rPr>
          <w:rFonts w:hint="eastAsia" w:ascii="宋体" w:hAnsi="宋体" w:eastAsia="宋体" w:cs="宋体"/>
          <w:color w:val="auto"/>
        </w:rPr>
      </w:pPr>
      <w:bookmarkStart w:id="26" w:name="_Toc19090556"/>
      <w:r>
        <w:rPr>
          <w:rFonts w:hint="eastAsia" w:ascii="宋体" w:hAnsi="宋体" w:eastAsia="宋体" w:cs="宋体"/>
          <w:color w:val="auto"/>
          <w:lang w:val="en-US" w:eastAsia="zh-CN"/>
        </w:rPr>
        <w:t>6.6</w:t>
      </w:r>
      <w:r>
        <w:rPr>
          <w:rFonts w:hint="eastAsia" w:ascii="宋体" w:hAnsi="宋体" w:eastAsia="宋体" w:cs="宋体"/>
          <w:color w:val="auto"/>
        </w:rPr>
        <w:t>环境要求</w:t>
      </w:r>
      <w:bookmarkEnd w:id="26"/>
    </w:p>
    <w:p>
      <w:pPr>
        <w:pStyle w:val="4"/>
        <w:spacing w:line="360" w:lineRule="auto"/>
        <w:ind w:left="0"/>
        <w:rPr>
          <w:rFonts w:hint="eastAsia" w:ascii="宋体" w:hAnsi="宋体" w:eastAsia="宋体" w:cs="宋体"/>
          <w:b/>
          <w:bCs/>
          <w:color w:val="auto"/>
        </w:rPr>
      </w:pPr>
      <w:bookmarkStart w:id="27" w:name="_Toc19090557"/>
      <w:r>
        <w:rPr>
          <w:rFonts w:hint="eastAsia" w:ascii="宋体" w:hAnsi="宋体" w:eastAsia="宋体" w:cs="宋体"/>
          <w:color w:val="auto"/>
          <w:lang w:val="en-US" w:eastAsia="zh-CN"/>
        </w:rPr>
        <w:t>6.6.1</w:t>
      </w:r>
      <w:r>
        <w:rPr>
          <w:rFonts w:hint="eastAsia" w:ascii="宋体" w:hAnsi="宋体" w:eastAsia="宋体" w:cs="宋体"/>
          <w:color w:val="auto"/>
        </w:rPr>
        <w:t>防护等级</w:t>
      </w:r>
      <w:bookmarkEnd w:id="27"/>
    </w:p>
    <w:p>
      <w:pPr>
        <w:spacing w:line="360" w:lineRule="auto"/>
        <w:ind w:firstLine="480"/>
        <w:rPr>
          <w:rFonts w:hint="eastAsia" w:ascii="宋体" w:hAnsi="宋体" w:eastAsia="宋体" w:cs="宋体"/>
          <w:color w:val="auto"/>
        </w:rPr>
      </w:pPr>
      <w:r>
        <w:rPr>
          <w:rFonts w:hint="eastAsia" w:ascii="宋体" w:hAnsi="宋体" w:eastAsia="宋体" w:cs="宋体"/>
          <w:color w:val="auto"/>
        </w:rPr>
        <w:t>按照GB 4208-2017的试验方法进行试验，符合5.11.2节防护等级要求。</w:t>
      </w:r>
    </w:p>
    <w:p>
      <w:pPr>
        <w:pStyle w:val="4"/>
        <w:spacing w:line="360" w:lineRule="auto"/>
        <w:ind w:left="0"/>
        <w:rPr>
          <w:rFonts w:hint="eastAsia" w:ascii="宋体" w:hAnsi="宋体" w:eastAsia="宋体" w:cs="宋体"/>
          <w:color w:val="auto"/>
        </w:rPr>
      </w:pPr>
      <w:bookmarkStart w:id="28" w:name="_Toc19090558"/>
      <w:r>
        <w:rPr>
          <w:rFonts w:hint="eastAsia" w:ascii="宋体" w:hAnsi="宋体" w:eastAsia="宋体" w:cs="宋体"/>
          <w:color w:val="auto"/>
          <w:lang w:val="en-US" w:eastAsia="zh-CN"/>
        </w:rPr>
        <w:t>6.6.2</w:t>
      </w:r>
      <w:r>
        <w:rPr>
          <w:rFonts w:hint="eastAsia" w:ascii="宋体" w:hAnsi="宋体" w:eastAsia="宋体" w:cs="宋体"/>
          <w:color w:val="auto"/>
        </w:rPr>
        <w:t>抗盐雾腐蚀</w:t>
      </w:r>
    </w:p>
    <w:p>
      <w:pPr>
        <w:pStyle w:val="29"/>
        <w:spacing w:line="360" w:lineRule="auto"/>
        <w:ind w:left="480" w:firstLine="480"/>
        <w:rPr>
          <w:rFonts w:hint="eastAsia" w:ascii="宋体" w:hAnsi="宋体" w:eastAsia="宋体" w:cs="宋体"/>
          <w:color w:val="auto"/>
          <w:sz w:val="24"/>
          <w:szCs w:val="24"/>
        </w:rPr>
      </w:pPr>
      <w:r>
        <w:rPr>
          <w:rFonts w:hint="eastAsia" w:ascii="宋体" w:hAnsi="宋体" w:eastAsia="宋体" w:cs="宋体"/>
          <w:color w:val="auto"/>
          <w:sz w:val="24"/>
          <w:szCs w:val="24"/>
        </w:rPr>
        <w:t>按GB/T2423.17-2008《电工电子产品环境试验第2部分: 试验方法试验Ka：盐雾》的相关规定进行试验，直接暴露的外表面的样件试验时间500h，内部或非直接外露的样件试验时间72h。集中式充电桩设备表面材料应具有防腐性能，试验后设备应无腐蚀现象。</w:t>
      </w:r>
    </w:p>
    <w:p>
      <w:pPr>
        <w:pStyle w:val="4"/>
        <w:spacing w:line="360" w:lineRule="auto"/>
        <w:ind w:left="0"/>
        <w:rPr>
          <w:rFonts w:hint="eastAsia" w:ascii="宋体" w:hAnsi="宋体" w:eastAsia="宋体" w:cs="宋体"/>
          <w:b/>
          <w:bCs/>
          <w:color w:val="auto"/>
        </w:rPr>
      </w:pPr>
      <w:r>
        <w:rPr>
          <w:rFonts w:hint="eastAsia" w:ascii="宋体" w:hAnsi="宋体" w:eastAsia="宋体" w:cs="宋体"/>
          <w:color w:val="auto"/>
          <w:lang w:val="en-US" w:eastAsia="zh-CN"/>
        </w:rPr>
        <w:t>6.6.3</w:t>
      </w:r>
      <w:r>
        <w:rPr>
          <w:rFonts w:hint="eastAsia" w:ascii="宋体" w:hAnsi="宋体" w:eastAsia="宋体" w:cs="宋体"/>
          <w:color w:val="auto"/>
        </w:rPr>
        <w:t>低温</w:t>
      </w:r>
      <w:bookmarkEnd w:id="28"/>
      <w:r>
        <w:rPr>
          <w:rFonts w:hint="eastAsia" w:ascii="宋体" w:hAnsi="宋体" w:eastAsia="宋体" w:cs="宋体"/>
          <w:color w:val="auto"/>
        </w:rPr>
        <w:t>工作</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充电桩放入环境试验箱，按GB/T 2423.1-2008的非散热试验样品规定，试验温度：-20,待环境试验箱试验温度稳定后，检查充电桩通讯、带载分合电路、显示功能、输出功能。</w:t>
      </w:r>
    </w:p>
    <w:p>
      <w:pPr>
        <w:pStyle w:val="4"/>
        <w:spacing w:line="360" w:lineRule="auto"/>
        <w:ind w:left="0"/>
        <w:rPr>
          <w:rFonts w:hint="eastAsia" w:ascii="宋体" w:hAnsi="宋体" w:eastAsia="宋体" w:cs="宋体"/>
          <w:b/>
          <w:bCs/>
          <w:color w:val="auto"/>
        </w:rPr>
      </w:pPr>
      <w:bookmarkStart w:id="29" w:name="_Toc19090559"/>
      <w:r>
        <w:rPr>
          <w:rFonts w:hint="eastAsia" w:ascii="宋体" w:hAnsi="宋体" w:eastAsia="宋体" w:cs="宋体"/>
          <w:color w:val="auto"/>
          <w:lang w:val="en-US" w:eastAsia="zh-CN"/>
        </w:rPr>
        <w:t>6.6.4</w:t>
      </w:r>
      <w:r>
        <w:rPr>
          <w:rFonts w:hint="eastAsia" w:ascii="宋体" w:hAnsi="宋体" w:eastAsia="宋体" w:cs="宋体"/>
          <w:color w:val="auto"/>
        </w:rPr>
        <w:t>高温</w:t>
      </w:r>
      <w:bookmarkEnd w:id="29"/>
      <w:r>
        <w:rPr>
          <w:rFonts w:hint="eastAsia" w:ascii="宋体" w:hAnsi="宋体" w:eastAsia="宋体" w:cs="宋体"/>
          <w:color w:val="auto"/>
        </w:rPr>
        <w:t>工作</w:t>
      </w:r>
    </w:p>
    <w:p>
      <w:pPr>
        <w:spacing w:line="360" w:lineRule="auto"/>
        <w:ind w:firstLine="480"/>
        <w:rPr>
          <w:rFonts w:hint="eastAsia" w:ascii="宋体" w:hAnsi="宋体" w:eastAsia="宋体" w:cs="宋体"/>
          <w:color w:val="auto"/>
        </w:rPr>
      </w:pPr>
      <w:r>
        <w:rPr>
          <w:rFonts w:hint="eastAsia" w:ascii="宋体" w:hAnsi="宋体" w:eastAsia="宋体" w:cs="宋体"/>
          <w:color w:val="auto"/>
        </w:rPr>
        <w:t>充电桩放入环境试验箱，按GB/T 2423.2-2001的非散热试验样品规定，试验温度：60℃，待环境试验箱试验温度稳定后，交流桩通电待额定负载，试验温度持续2h，检查充电桩带载分合电路、显示功能、输出功能。</w:t>
      </w:r>
    </w:p>
    <w:p>
      <w:pPr>
        <w:pStyle w:val="4"/>
        <w:spacing w:line="360" w:lineRule="auto"/>
        <w:ind w:left="0"/>
        <w:rPr>
          <w:rFonts w:hint="eastAsia" w:ascii="宋体" w:hAnsi="宋体" w:eastAsia="宋体" w:cs="宋体"/>
          <w:b/>
          <w:bCs/>
          <w:color w:val="auto"/>
        </w:rPr>
      </w:pPr>
      <w:bookmarkStart w:id="30" w:name="_Toc19090560"/>
      <w:r>
        <w:rPr>
          <w:rFonts w:hint="eastAsia" w:ascii="宋体" w:hAnsi="宋体" w:eastAsia="宋体" w:cs="宋体"/>
          <w:color w:val="auto"/>
          <w:lang w:val="en-US" w:eastAsia="zh-CN"/>
        </w:rPr>
        <w:t>6.6.5</w:t>
      </w:r>
      <w:r>
        <w:rPr>
          <w:rFonts w:hint="eastAsia" w:ascii="宋体" w:hAnsi="宋体" w:eastAsia="宋体" w:cs="宋体"/>
          <w:color w:val="auto"/>
        </w:rPr>
        <w:t>恒定湿热</w:t>
      </w:r>
      <w:bookmarkEnd w:id="30"/>
    </w:p>
    <w:p>
      <w:pPr>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rPr>
        <w:t>充电桩放入环境试验箱，按GB/T 2423.3-2006的规定，相对湿度为93%温度44℃的环境下持续96h。在湿热试验结束前2h进行绝缘强度和介电强度复试，绝缘电阻不应该小于1MΩ，介电强度按要求的75%施加测量电压。试验结束后，在环境温箱恢复至正常大气条件，检查带载分合电路、显示功能、输出功</w:t>
      </w:r>
      <w:bookmarkEnd w:id="19"/>
      <w:bookmarkEnd w:id="20"/>
      <w:bookmarkEnd w:id="21"/>
      <w:r>
        <w:rPr>
          <w:rFonts w:hint="eastAsia" w:ascii="宋体" w:hAnsi="宋体" w:eastAsia="宋体" w:cs="宋体"/>
          <w:color w:val="auto"/>
          <w:lang w:val="en-US" w:eastAsia="zh-CN"/>
        </w:rPr>
        <w:t>能</w:t>
      </w:r>
    </w:p>
    <w:p>
      <w:pPr>
        <w:pStyle w:val="3"/>
        <w:bidi w:val="0"/>
        <w:rPr>
          <w:rFonts w:hint="eastAsia" w:ascii="宋体" w:hAnsi="宋体" w:eastAsia="宋体" w:cs="宋体"/>
        </w:rPr>
      </w:pPr>
      <w:r>
        <w:rPr>
          <w:rFonts w:hint="eastAsia" w:ascii="宋体" w:hAnsi="宋体" w:eastAsia="宋体" w:cs="宋体"/>
          <w:lang w:eastAsia="zh-CN"/>
        </w:rPr>
        <w:t>七</w:t>
      </w:r>
      <w:r>
        <w:rPr>
          <w:rFonts w:hint="eastAsia" w:ascii="宋体" w:hAnsi="宋体" w:eastAsia="宋体" w:cs="宋体"/>
        </w:rPr>
        <w:t>、</w:t>
      </w:r>
      <w:r>
        <w:rPr>
          <w:rFonts w:hint="eastAsia" w:ascii="宋体" w:hAnsi="宋体" w:eastAsia="宋体" w:cs="宋体"/>
          <w:lang w:val="en-US" w:eastAsia="zh-CN"/>
        </w:rPr>
        <w:t>建设</w:t>
      </w:r>
      <w:r>
        <w:rPr>
          <w:rFonts w:hint="eastAsia" w:ascii="宋体" w:hAnsi="宋体" w:eastAsia="宋体" w:cs="宋体"/>
        </w:rPr>
        <w:t>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1.投标人应结合实地考察校内环境，充分估计该项目建设过程中涉及相关设施的改造、拆除、恢复等工作内容并承担费用；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2.设备设施的安装必须严格按照国家标准和行业规范，并要充分考虑方案对基建、校园整体规划的影响。设施安装位置应符合用户使用习惯，安装方法符合相关规范。其安装位置可做局部调整，并且便于维修； </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3.建设方案具体内容由投标人自行编制，必须包括但不限于：项目管理组织机构，建设进度，建设进度、质量、成本的控制措施，向招标人及相关部门的信息报告制度，其他需要说明的内容</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4.建设方案必须经采购人同意，方可施工建设，安装水表、电表产生的费用由中标人承担；</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5.需于2023年8月31日前完成项目建设。</w:t>
      </w:r>
    </w:p>
    <w:p>
      <w:pPr>
        <w:pStyle w:val="3"/>
        <w:bidi w:val="0"/>
        <w:rPr>
          <w:rFonts w:hint="eastAsia" w:ascii="宋体" w:hAnsi="宋体" w:eastAsia="宋体" w:cs="宋体"/>
        </w:rPr>
      </w:pPr>
      <w:r>
        <w:rPr>
          <w:rFonts w:hint="eastAsia" w:ascii="宋体" w:hAnsi="宋体" w:eastAsia="宋体" w:cs="宋体"/>
          <w:lang w:eastAsia="zh-CN"/>
        </w:rPr>
        <w:t>八</w:t>
      </w:r>
      <w:r>
        <w:rPr>
          <w:rFonts w:hint="eastAsia" w:ascii="宋体" w:hAnsi="宋体" w:eastAsia="宋体" w:cs="宋体"/>
        </w:rPr>
        <w:t>、售后服务要求</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1.投标人在合同期内应当为采购人提供以下技术支持和服务：</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1.1电话咨询</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1.2技术升级</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中标人在合同期内，如果中标人和制造商的产品技术升级，供应商应及时通知采购人，如采购人有相应要求，中标人和制造商应对相关的产品进行免费升级服务。</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2.合同期满后服务要求</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2.1合同期满后，供应商和制造商应同样提供免费的电话咨询、技术支持、故障处理、缺陷修复服务，并应承诺提供产品上门维护服务。</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2.2合同期满后，采购人需要继续由原供应商和制造商提供售后服务的，该供应商和制造商应以优惠价格提供售后服务。</w:t>
      </w:r>
    </w:p>
    <w:p>
      <w:pPr>
        <w:pStyle w:val="3"/>
        <w:bidi w:val="0"/>
        <w:rPr>
          <w:rFonts w:hint="eastAsia" w:ascii="宋体" w:hAnsi="宋体" w:eastAsia="宋体" w:cs="宋体"/>
        </w:rPr>
      </w:pPr>
      <w:r>
        <w:rPr>
          <w:rFonts w:hint="eastAsia" w:ascii="宋体" w:hAnsi="宋体" w:eastAsia="宋体" w:cs="宋体"/>
          <w:lang w:eastAsia="zh-CN"/>
        </w:rPr>
        <w:t>九</w:t>
      </w:r>
      <w:r>
        <w:rPr>
          <w:rFonts w:hint="eastAsia" w:ascii="宋体" w:hAnsi="宋体" w:eastAsia="宋体" w:cs="宋体"/>
        </w:rPr>
        <w:t>、</w:t>
      </w:r>
      <w:r>
        <w:rPr>
          <w:rFonts w:hint="eastAsia" w:ascii="宋体" w:hAnsi="宋体" w:eastAsia="宋体" w:cs="宋体"/>
          <w:lang w:val="en-US" w:eastAsia="zh-CN"/>
        </w:rPr>
        <w:t>运维</w:t>
      </w:r>
      <w:r>
        <w:rPr>
          <w:rFonts w:hint="eastAsia" w:ascii="宋体" w:hAnsi="宋体" w:eastAsia="宋体" w:cs="宋体"/>
        </w:rPr>
        <w:t>服务要求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1.投标人应选派思想端正、作风过硬、纪律严明、经验丰富且具有充电桩系统操作资质的工作人员或维护人员驻校，提供及时、优质的设备维护、维修等日常管理与服务；</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2.投标人应严守社会公德、职业道德、职业纪律，能妥善处理好施工场地与周边公共</w:t>
      </w:r>
      <w:r>
        <w:rPr>
          <w:rFonts w:hint="eastAsia" w:ascii="宋体" w:hAnsi="宋体" w:eastAsia="宋体" w:cs="宋体"/>
          <w:color w:val="auto"/>
          <w:kern w:val="0"/>
          <w:sz w:val="24"/>
          <w:szCs w:val="24"/>
          <w:highlight w:val="none"/>
        </w:rPr>
        <w:t>关系，不得干扰师生正常工作和生活，必须保障施工场地干净整洁，必须保障施工场地人员安全；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3.投标人必须保证所有服务对象在合同期的用电安全，如有任何安全问题投标人应承担全部责</w:t>
      </w:r>
      <w:r>
        <w:rPr>
          <w:rFonts w:hint="eastAsia" w:ascii="宋体" w:hAnsi="宋体" w:eastAsia="宋体" w:cs="宋体"/>
          <w:color w:val="auto"/>
          <w:sz w:val="24"/>
          <w:szCs w:val="24"/>
          <w:highlight w:val="none"/>
        </w:rPr>
        <w:t>任；</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4.服务期间，采购人组织学生及相关部门每学期评估一次，学生满意率在90%以下视为评估不合格，采购人有权要求中标人整改，整改不合格可要求中标人无条件撤出。中标人</w:t>
      </w:r>
      <w:r>
        <w:rPr>
          <w:rFonts w:hint="eastAsia" w:ascii="宋体" w:hAnsi="宋体" w:eastAsia="宋体" w:cs="宋体"/>
          <w:color w:val="auto"/>
          <w:kern w:val="0"/>
          <w:sz w:val="24"/>
          <w:szCs w:val="24"/>
          <w:highlight w:val="none"/>
        </w:rPr>
        <w:t>的服务承诺应注明达到的学生满意率，以及在定期考核中未达到承诺的学生满意率的惩罚措施；</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中标人提供24小时服务热线，接到报修电话后2小时内到达现场并维修完成，如有更换配件当天不能完成的，必须报请承租单位并挂好停用标识，并于48小时内完成维修。如设备出现重大故障不能于48小时内完成维修的，投标人应当提供备用机。如因设备维修不及时造成安全责任完</w:t>
      </w:r>
      <w:r>
        <w:rPr>
          <w:rFonts w:hint="eastAsia" w:ascii="宋体" w:hAnsi="宋体" w:eastAsia="宋体" w:cs="宋体"/>
          <w:color w:val="auto"/>
          <w:sz w:val="24"/>
          <w:szCs w:val="24"/>
          <w:highlight w:val="none"/>
        </w:rPr>
        <w:t>全由中标人全权承担。</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6.设备运行期间，</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rPr>
        <w:t>巡检设备的周期不应超过15天，并做好记录，使用单位随时随机对设备运营、服务质量进行抽检，如发现设备</w:t>
      </w:r>
      <w:r>
        <w:rPr>
          <w:rFonts w:hint="eastAsia" w:ascii="宋体" w:hAnsi="宋体" w:eastAsia="宋体" w:cs="宋体"/>
          <w:color w:val="auto"/>
          <w:kern w:val="0"/>
          <w:sz w:val="24"/>
          <w:szCs w:val="24"/>
          <w:highlight w:val="none"/>
        </w:rPr>
        <w:t>异常，将立即停用设备，并报设备厂家检修，恢复正常标准后恢复使用。</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7.项目服务期间，投标人应当在我校寒假、暑假开学前一周对充电设备进行全面、系统的清洁保养和维修检查，确保所有设备正常运行。</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8.投标人须接收师生监督，如若发现收费价格高于规定标准，每发现一次罚款500元/每次，具体详见合同内约定。</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9.投标人考虑为学校及学生更好服务提供的附加优惠条件由投标人自行制定。</w:t>
      </w:r>
    </w:p>
    <w:p>
      <w:pPr>
        <w:pStyle w:val="3"/>
        <w:bidi w:val="0"/>
        <w:rPr>
          <w:rFonts w:hint="eastAsia" w:ascii="宋体" w:hAnsi="宋体" w:eastAsia="宋体" w:cs="宋体"/>
          <w:lang w:val="en-US" w:eastAsia="zh-CN"/>
        </w:rPr>
      </w:pPr>
      <w:r>
        <w:rPr>
          <w:rFonts w:hint="eastAsia" w:ascii="宋体" w:hAnsi="宋体" w:eastAsia="宋体" w:cs="宋体"/>
          <w:lang w:eastAsia="zh-CN"/>
        </w:rPr>
        <w:t>十</w:t>
      </w:r>
      <w:r>
        <w:rPr>
          <w:rFonts w:hint="eastAsia" w:ascii="宋体" w:hAnsi="宋体" w:eastAsia="宋体" w:cs="宋体"/>
        </w:rPr>
        <w:t>、</w:t>
      </w:r>
      <w:r>
        <w:rPr>
          <w:rFonts w:hint="eastAsia" w:ascii="宋体" w:hAnsi="宋体" w:eastAsia="宋体" w:cs="宋体"/>
          <w:lang w:val="en-US" w:eastAsia="zh-CN"/>
        </w:rPr>
        <w:t>项目验收和重要依据及移交要求</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1.本项目验收双方派代表共同见证，</w:t>
      </w:r>
      <w:r>
        <w:rPr>
          <w:rFonts w:hint="eastAsia" w:ascii="宋体" w:hAnsi="宋体" w:eastAsia="宋体" w:cs="宋体"/>
          <w:color w:val="auto"/>
          <w:kern w:val="0"/>
          <w:sz w:val="24"/>
          <w:szCs w:val="24"/>
          <w:highlight w:val="none"/>
          <w:lang w:val="en-US" w:eastAsia="zh-Hans"/>
        </w:rPr>
        <w:t>并出具验收报告</w:t>
      </w:r>
      <w:r>
        <w:rPr>
          <w:rFonts w:hint="eastAsia" w:ascii="宋体" w:hAnsi="宋体" w:eastAsia="宋体" w:cs="宋体"/>
          <w:color w:val="auto"/>
          <w:kern w:val="0"/>
          <w:sz w:val="24"/>
          <w:szCs w:val="24"/>
          <w:highlight w:val="none"/>
        </w:rPr>
        <w:t>。</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2.合同期满时的项目设施移交验收标准 </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由投标人在项目设施移交日前负责对项目设施进行必要的整修，以使项目设施达到届时相关规范要求（包括但不限于所有构筑物满足安全要求，所有设备工况良好、设施完好、满足性能）。</w:t>
      </w:r>
    </w:p>
    <w:p>
      <w:pPr>
        <w:pStyle w:val="18"/>
        <w:spacing w:line="360" w:lineRule="auto"/>
        <w:rPr>
          <w:rFonts w:hint="eastAsia" w:ascii="宋体" w:hAnsi="宋体" w:eastAsia="宋体" w:cs="宋体"/>
          <w:color w:val="auto"/>
          <w:kern w:val="0"/>
          <w:sz w:val="24"/>
        </w:rPr>
      </w:pPr>
    </w:p>
    <w:p>
      <w:pPr>
        <w:pStyle w:val="18"/>
        <w:spacing w:line="360" w:lineRule="auto"/>
        <w:rPr>
          <w:rFonts w:hint="eastAsia" w:ascii="宋体" w:hAnsi="宋体" w:eastAsia="宋体" w:cs="宋体"/>
          <w:color w:val="auto"/>
          <w:kern w:val="0"/>
          <w:sz w:val="24"/>
        </w:rPr>
      </w:pPr>
    </w:p>
    <w:p>
      <w:pPr>
        <w:pStyle w:val="7"/>
        <w:spacing w:line="360" w:lineRule="auto"/>
        <w:rPr>
          <w:rFonts w:hint="eastAsia" w:ascii="宋体" w:hAnsi="宋体" w:eastAsia="宋体" w:cs="宋体"/>
          <w:b/>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00"/>
    <w:family w:val="modern"/>
    <w:pitch w:val="default"/>
    <w:sig w:usb0="00000000" w:usb1="00000000" w:usb2="00000000" w:usb3="00000000" w:csb0="00040000" w:csb1="00000000"/>
  </w:font>
  <w:font w:name="TimesNewRomanPSMT">
    <w:altName w:val="Times New Roman"/>
    <w:panose1 w:val="02020603050405020304"/>
    <w:charset w:val="00"/>
    <w:family w:val="roman"/>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4B4C"/>
    <w:multiLevelType w:val="singleLevel"/>
    <w:tmpl w:val="84344B4C"/>
    <w:lvl w:ilvl="0" w:tentative="0">
      <w:start w:val="2"/>
      <w:numFmt w:val="chineseCounting"/>
      <w:suff w:val="nothing"/>
      <w:lvlText w:val="%1、"/>
      <w:lvlJc w:val="left"/>
      <w:rPr>
        <w:rFonts w:hint="eastAsia"/>
      </w:rPr>
    </w:lvl>
  </w:abstractNum>
  <w:abstractNum w:abstractNumId="1">
    <w:nsid w:val="02C614AD"/>
    <w:multiLevelType w:val="multilevel"/>
    <w:tmpl w:val="02C614AD"/>
    <w:lvl w:ilvl="0" w:tentative="0">
      <w:start w:val="1"/>
      <w:numFmt w:val="lowerLetter"/>
      <w:pStyle w:val="28"/>
      <w:suff w:val="nothing"/>
      <w:lvlText w:val="%1）"/>
      <w:lvlJc w:val="left"/>
      <w:pPr>
        <w:ind w:left="420" w:firstLine="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11FB068D"/>
    <w:multiLevelType w:val="multilevel"/>
    <w:tmpl w:val="11FB068D"/>
    <w:lvl w:ilvl="0" w:tentative="0">
      <w:start w:val="1"/>
      <w:numFmt w:val="chineseCountingThousand"/>
      <w:isLgl/>
      <w:suff w:val="space"/>
      <w:lvlText w:val="%1 "/>
      <w:lvlJc w:val="left"/>
      <w:pPr>
        <w:ind w:left="0" w:firstLine="0"/>
      </w:pPr>
      <w:rPr>
        <w:rFonts w:hint="eastAsia" w:ascii="黑体" w:hAnsi="黑体" w:eastAsia="黑体" w:cs="Times New Roman"/>
        <w:b w:val="0"/>
        <w:bCs w:val="0"/>
        <w:i w:val="0"/>
        <w:iCs w:val="0"/>
        <w:caps w:val="0"/>
        <w:strike w:val="0"/>
        <w:dstrike w:val="0"/>
        <w:snapToGrid w:val="0"/>
        <w:vanish w:val="0"/>
        <w:color w:val="000000"/>
        <w:spacing w:val="0"/>
        <w:kern w:val="0"/>
        <w:position w:val="0"/>
        <w:sz w:val="24"/>
        <w:u w:val="none"/>
        <w:vertAlign w:val="baseline"/>
      </w:rPr>
    </w:lvl>
    <w:lvl w:ilvl="1" w:tentative="0">
      <w:start w:val="1"/>
      <w:numFmt w:val="decimal"/>
      <w:isLgl/>
      <w:suff w:val="space"/>
      <w:lvlText w:val="%1.%2 "/>
      <w:lvlJc w:val="left"/>
      <w:pPr>
        <w:ind w:left="0" w:firstLine="0"/>
      </w:pPr>
      <w:rPr>
        <w:rFonts w:hint="eastAsia" w:ascii="黑体" w:hAnsi="黑体" w:eastAsia="黑体"/>
        <w:b w:val="0"/>
        <w:i w:val="0"/>
        <w:spacing w:val="0"/>
        <w:sz w:val="24"/>
        <w:szCs w:val="28"/>
        <w:lang w:val="en-US"/>
      </w:rPr>
    </w:lvl>
    <w:lvl w:ilvl="2" w:tentative="0">
      <w:start w:val="1"/>
      <w:numFmt w:val="decimal"/>
      <w:isLgl/>
      <w:suff w:val="space"/>
      <w:lvlText w:val="%1.%2.%3 "/>
      <w:lvlJc w:val="left"/>
      <w:pPr>
        <w:ind w:left="567" w:firstLine="0"/>
      </w:pPr>
      <w:rPr>
        <w:rFonts w:hint="eastAsia" w:ascii="黑体" w:hAnsi="黑体" w:eastAsia="黑体"/>
        <w:b w:val="0"/>
        <w:i w:val="0"/>
        <w:caps w:val="0"/>
        <w:smallCaps w:val="0"/>
        <w:strike w:val="0"/>
        <w:dstrike w:val="0"/>
        <w:vanish w:val="0"/>
        <w:spacing w:val="0"/>
        <w:kern w:val="0"/>
        <w:position w:val="0"/>
        <w:u w:val="none"/>
        <w:vertAlign w:val="baseline"/>
        <w:lang w:val="en-US"/>
      </w:rPr>
    </w:lvl>
    <w:lvl w:ilvl="3" w:tentative="0">
      <w:start w:val="1"/>
      <w:numFmt w:val="decimal"/>
      <w:pStyle w:val="5"/>
      <w:isLgl/>
      <w:suff w:val="space"/>
      <w:lvlText w:val="%1.%2.%3.%4 "/>
      <w:lvlJc w:val="left"/>
      <w:pPr>
        <w:ind w:left="142" w:firstLine="0"/>
      </w:pPr>
      <w:rPr>
        <w:rFonts w:hint="eastAsia" w:ascii="黑体" w:hAnsi="黑体" w:eastAsia="黑体" w:cs="Times New Roman"/>
        <w:b w:val="0"/>
        <w:bCs w:val="0"/>
        <w:i w:val="0"/>
        <w:iCs w:val="0"/>
        <w:caps w:val="0"/>
        <w:smallCaps w:val="0"/>
        <w:strike w:val="0"/>
        <w:dstrike w:val="0"/>
        <w:snapToGrid w:val="0"/>
        <w:vanish w:val="0"/>
        <w:spacing w:val="0"/>
        <w:kern w:val="0"/>
        <w:position w:val="0"/>
        <w:sz w:val="24"/>
        <w:szCs w:val="24"/>
        <w:u w:val="none"/>
        <w:vertAlign w:val="baseline"/>
        <w:lang w:val="en-GB"/>
      </w:rPr>
    </w:lvl>
    <w:lvl w:ilvl="4" w:tentative="0">
      <w:start w:val="1"/>
      <w:numFmt w:val="decimal"/>
      <w:isLgl/>
      <w:suff w:val="space"/>
      <w:lvlText w:val="%1.%2.%3.%4.%5 "/>
      <w:lvlJc w:val="left"/>
      <w:pPr>
        <w:ind w:left="0" w:firstLine="0"/>
      </w:pPr>
      <w:rPr>
        <w:rFonts w:hint="eastAsia" w:ascii="黑体" w:hAnsi="黑体" w:eastAsia="黑体"/>
        <w:b w:val="0"/>
        <w:i w:val="0"/>
        <w:sz w:val="24"/>
        <w:szCs w:val="24"/>
      </w:rPr>
    </w:lvl>
    <w:lvl w:ilvl="5" w:tentative="0">
      <w:start w:val="1"/>
      <w:numFmt w:val="none"/>
      <w:isLgl/>
      <w:suff w:val="nothing"/>
      <w:lvlText w:val=""/>
      <w:lvlJc w:val="left"/>
      <w:pPr>
        <w:ind w:left="0" w:firstLine="0"/>
      </w:pPr>
      <w:rPr>
        <w:rFonts w:hint="eastAsia" w:eastAsia="宋体"/>
      </w:rPr>
    </w:lvl>
    <w:lvl w:ilvl="6" w:tentative="0">
      <w:start w:val="1"/>
      <w:numFmt w:val="none"/>
      <w:suff w:val="nothing"/>
      <w:lvlText w:val=""/>
      <w:lvlJc w:val="left"/>
      <w:pPr>
        <w:ind w:left="0" w:firstLine="0"/>
      </w:pPr>
      <w:rPr>
        <w:rFonts w:hint="eastAsia" w:eastAsia="宋体"/>
      </w:rPr>
    </w:lvl>
    <w:lvl w:ilvl="7" w:tentative="0">
      <w:start w:val="1"/>
      <w:numFmt w:val="decimal"/>
      <w:lvlRestart w:val="2"/>
      <w:isLgl/>
      <w:suff w:val="nothing"/>
      <w:lvlText w:val="%8"/>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8" w:tentative="0">
      <w:start w:val="1"/>
      <w:numFmt w:val="decimal"/>
      <w:lvlRestart w:val="0"/>
      <w:isLgl/>
      <w:suff w:val="nothing"/>
      <w:lvlText w:val="%9"/>
      <w:lvlJc w:val="left"/>
      <w:pPr>
        <w:ind w:left="0" w:firstLine="0"/>
      </w:pPr>
      <w:rPr>
        <w:rFonts w:hint="default" w:ascii="Times New Roman" w:hAnsi="Times New Roman" w:eastAsia="黑体"/>
        <w:b w:val="0"/>
      </w:rPr>
    </w:lvl>
  </w:abstractNum>
  <w:abstractNum w:abstractNumId="3">
    <w:nsid w:val="2C8C2C8D"/>
    <w:multiLevelType w:val="multilevel"/>
    <w:tmpl w:val="2C8C2C8D"/>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B827A50"/>
    <w:multiLevelType w:val="multilevel"/>
    <w:tmpl w:val="4B827A50"/>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B70134"/>
    <w:multiLevelType w:val="multilevel"/>
    <w:tmpl w:val="4EB70134"/>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BEB14DB"/>
    <w:multiLevelType w:val="multilevel"/>
    <w:tmpl w:val="5BEB14DB"/>
    <w:lvl w:ilvl="0" w:tentative="0">
      <w:start w:val="1"/>
      <w:numFmt w:val="upperLetter"/>
      <w:pStyle w:val="2"/>
      <w:lvlText w:val="%1、"/>
      <w:lvlJc w:val="left"/>
      <w:pPr>
        <w:tabs>
          <w:tab w:val="left" w:pos="5682"/>
        </w:tabs>
        <w:ind w:left="5682" w:hanging="720"/>
      </w:pPr>
      <w:rPr>
        <w:rFonts w:hint="eastAsia"/>
      </w:rPr>
    </w:lvl>
    <w:lvl w:ilvl="1" w:tentative="0">
      <w:start w:val="1"/>
      <w:numFmt w:val="lowerLetter"/>
      <w:lvlText w:val="%2)"/>
      <w:lvlJc w:val="left"/>
      <w:pPr>
        <w:tabs>
          <w:tab w:val="left" w:pos="2250"/>
        </w:tabs>
        <w:ind w:left="2250" w:hanging="420"/>
      </w:pPr>
    </w:lvl>
    <w:lvl w:ilvl="2" w:tentative="0">
      <w:start w:val="1"/>
      <w:numFmt w:val="lowerRoman"/>
      <w:lvlText w:val="%3."/>
      <w:lvlJc w:val="right"/>
      <w:pPr>
        <w:tabs>
          <w:tab w:val="left" w:pos="2670"/>
        </w:tabs>
        <w:ind w:left="2670" w:hanging="420"/>
      </w:pPr>
    </w:lvl>
    <w:lvl w:ilvl="3" w:tentative="0">
      <w:start w:val="1"/>
      <w:numFmt w:val="decimal"/>
      <w:lvlText w:val="%4."/>
      <w:lvlJc w:val="left"/>
      <w:pPr>
        <w:tabs>
          <w:tab w:val="left" w:pos="3090"/>
        </w:tabs>
        <w:ind w:left="3090" w:hanging="420"/>
      </w:pPr>
    </w:lvl>
    <w:lvl w:ilvl="4" w:tentative="0">
      <w:start w:val="1"/>
      <w:numFmt w:val="lowerLetter"/>
      <w:lvlText w:val="%5)"/>
      <w:lvlJc w:val="left"/>
      <w:pPr>
        <w:tabs>
          <w:tab w:val="left" w:pos="3510"/>
        </w:tabs>
        <w:ind w:left="3510" w:hanging="420"/>
      </w:pPr>
    </w:lvl>
    <w:lvl w:ilvl="5" w:tentative="0">
      <w:start w:val="1"/>
      <w:numFmt w:val="lowerRoman"/>
      <w:lvlText w:val="%6."/>
      <w:lvlJc w:val="right"/>
      <w:pPr>
        <w:tabs>
          <w:tab w:val="left" w:pos="3930"/>
        </w:tabs>
        <w:ind w:left="3930" w:hanging="420"/>
      </w:pPr>
    </w:lvl>
    <w:lvl w:ilvl="6" w:tentative="0">
      <w:start w:val="1"/>
      <w:numFmt w:val="decimal"/>
      <w:lvlText w:val="%7."/>
      <w:lvlJc w:val="left"/>
      <w:pPr>
        <w:tabs>
          <w:tab w:val="left" w:pos="4350"/>
        </w:tabs>
        <w:ind w:left="4350" w:hanging="420"/>
      </w:pPr>
    </w:lvl>
    <w:lvl w:ilvl="7" w:tentative="0">
      <w:start w:val="1"/>
      <w:numFmt w:val="lowerLetter"/>
      <w:lvlText w:val="%8)"/>
      <w:lvlJc w:val="left"/>
      <w:pPr>
        <w:tabs>
          <w:tab w:val="left" w:pos="4770"/>
        </w:tabs>
        <w:ind w:left="4770" w:hanging="420"/>
      </w:pPr>
    </w:lvl>
    <w:lvl w:ilvl="8" w:tentative="0">
      <w:start w:val="1"/>
      <w:numFmt w:val="lowerRoman"/>
      <w:lvlText w:val="%9."/>
      <w:lvlJc w:val="right"/>
      <w:pPr>
        <w:tabs>
          <w:tab w:val="left" w:pos="5190"/>
        </w:tabs>
        <w:ind w:left="5190" w:hanging="420"/>
      </w:pPr>
    </w:lvl>
  </w:abstractNum>
  <w:abstractNum w:abstractNumId="7">
    <w:nsid w:val="5FFB75F7"/>
    <w:multiLevelType w:val="multilevel"/>
    <w:tmpl w:val="5FFB75F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5717E0"/>
    <w:multiLevelType w:val="multilevel"/>
    <w:tmpl w:val="645717E0"/>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F5E45B1"/>
    <w:multiLevelType w:val="multilevel"/>
    <w:tmpl w:val="6F5E45B1"/>
    <w:lvl w:ilvl="0" w:tentative="0">
      <w:start w:val="1"/>
      <w:numFmt w:val="lowerLetter"/>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BA7784F"/>
    <w:multiLevelType w:val="multilevel"/>
    <w:tmpl w:val="7BA7784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9"/>
  </w:num>
  <w:num w:numId="8">
    <w:abstractNumId w:val="8"/>
  </w:num>
  <w:num w:numId="9">
    <w:abstractNumId w:val="3"/>
  </w:num>
  <w:num w:numId="10">
    <w:abstractNumId w:val="4"/>
  </w:num>
  <w:num w:numId="11">
    <w:abstractNumId w:val="10"/>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624E"/>
    <w:rsid w:val="000611FC"/>
    <w:rsid w:val="004416B5"/>
    <w:rsid w:val="0056624E"/>
    <w:rsid w:val="006941D0"/>
    <w:rsid w:val="009A0269"/>
    <w:rsid w:val="00B348BF"/>
    <w:rsid w:val="00D668B2"/>
    <w:rsid w:val="00D8350C"/>
    <w:rsid w:val="00EF2155"/>
    <w:rsid w:val="00F846E6"/>
    <w:rsid w:val="035C2BBE"/>
    <w:rsid w:val="08D54626"/>
    <w:rsid w:val="0AF02C43"/>
    <w:rsid w:val="0B260413"/>
    <w:rsid w:val="0E1409F6"/>
    <w:rsid w:val="0E636264"/>
    <w:rsid w:val="10093E5F"/>
    <w:rsid w:val="11CE6738"/>
    <w:rsid w:val="127E6D86"/>
    <w:rsid w:val="1376180B"/>
    <w:rsid w:val="14885C9A"/>
    <w:rsid w:val="15BA5E1A"/>
    <w:rsid w:val="164D6347"/>
    <w:rsid w:val="17D11706"/>
    <w:rsid w:val="18345E57"/>
    <w:rsid w:val="18932E60"/>
    <w:rsid w:val="18E86D07"/>
    <w:rsid w:val="193A32DB"/>
    <w:rsid w:val="1B5F12B0"/>
    <w:rsid w:val="1F064C23"/>
    <w:rsid w:val="1F0D148B"/>
    <w:rsid w:val="1FFE1506"/>
    <w:rsid w:val="205D447F"/>
    <w:rsid w:val="20BF1AE8"/>
    <w:rsid w:val="2167425B"/>
    <w:rsid w:val="21C10A3D"/>
    <w:rsid w:val="23AF4E7B"/>
    <w:rsid w:val="24C60456"/>
    <w:rsid w:val="25357778"/>
    <w:rsid w:val="26DB60FD"/>
    <w:rsid w:val="278113B5"/>
    <w:rsid w:val="27A45770"/>
    <w:rsid w:val="27E234BC"/>
    <w:rsid w:val="286C3A08"/>
    <w:rsid w:val="29F63F49"/>
    <w:rsid w:val="2B02634F"/>
    <w:rsid w:val="2FC242FE"/>
    <w:rsid w:val="30B428E3"/>
    <w:rsid w:val="310F2CA3"/>
    <w:rsid w:val="31274439"/>
    <w:rsid w:val="340F5638"/>
    <w:rsid w:val="34DC9D70"/>
    <w:rsid w:val="357F67EE"/>
    <w:rsid w:val="36284E65"/>
    <w:rsid w:val="36723C5D"/>
    <w:rsid w:val="367479D5"/>
    <w:rsid w:val="37A80052"/>
    <w:rsid w:val="3DA07301"/>
    <w:rsid w:val="3FE62FE7"/>
    <w:rsid w:val="4139202B"/>
    <w:rsid w:val="423D7815"/>
    <w:rsid w:val="42D248E9"/>
    <w:rsid w:val="438A42B5"/>
    <w:rsid w:val="43EB7685"/>
    <w:rsid w:val="448E4357"/>
    <w:rsid w:val="45232767"/>
    <w:rsid w:val="47AF4D11"/>
    <w:rsid w:val="487555B2"/>
    <w:rsid w:val="4B38501D"/>
    <w:rsid w:val="4F1645E9"/>
    <w:rsid w:val="505E5526"/>
    <w:rsid w:val="506B165C"/>
    <w:rsid w:val="51894E4F"/>
    <w:rsid w:val="51FA74D0"/>
    <w:rsid w:val="52AE3B76"/>
    <w:rsid w:val="53EB6E63"/>
    <w:rsid w:val="55D04FA7"/>
    <w:rsid w:val="55E37896"/>
    <w:rsid w:val="5D094A6B"/>
    <w:rsid w:val="5ECB2566"/>
    <w:rsid w:val="5F5A6F38"/>
    <w:rsid w:val="602D0A71"/>
    <w:rsid w:val="604C0EF7"/>
    <w:rsid w:val="60A21B08"/>
    <w:rsid w:val="60CC64DC"/>
    <w:rsid w:val="60EF4A64"/>
    <w:rsid w:val="62BB1F75"/>
    <w:rsid w:val="64C92D33"/>
    <w:rsid w:val="66173D55"/>
    <w:rsid w:val="66B15F58"/>
    <w:rsid w:val="687F5BE1"/>
    <w:rsid w:val="68AE0E91"/>
    <w:rsid w:val="6A9A31A7"/>
    <w:rsid w:val="6E751977"/>
    <w:rsid w:val="6F5D33CA"/>
    <w:rsid w:val="71FB231A"/>
    <w:rsid w:val="72C07522"/>
    <w:rsid w:val="7338057D"/>
    <w:rsid w:val="73612AB3"/>
    <w:rsid w:val="742959E3"/>
    <w:rsid w:val="745A3E76"/>
    <w:rsid w:val="769D2054"/>
    <w:rsid w:val="76E25CB9"/>
    <w:rsid w:val="773329B9"/>
    <w:rsid w:val="77D5A73B"/>
    <w:rsid w:val="78B74F24"/>
    <w:rsid w:val="78C20956"/>
    <w:rsid w:val="7D2A660C"/>
    <w:rsid w:val="7E5C45A9"/>
    <w:rsid w:val="7EF7AA92"/>
    <w:rsid w:val="7FBA3C77"/>
    <w:rsid w:val="7FD8234F"/>
    <w:rsid w:val="AF75CE56"/>
    <w:rsid w:val="C33D671C"/>
    <w:rsid w:val="DD7E4CA3"/>
    <w:rsid w:val="EFDD3FB8"/>
    <w:rsid w:val="F87DCAAA"/>
    <w:rsid w:val="F9FFCA2F"/>
    <w:rsid w:val="FAE2A736"/>
    <w:rsid w:val="FB7FFCD0"/>
    <w:rsid w:val="FD1F5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spacing w:before="100" w:after="90" w:line="240" w:lineRule="auto"/>
      <w:outlineLvl w:val="0"/>
    </w:pPr>
    <w:rPr>
      <w:b/>
      <w:bCs/>
      <w:kern w:val="44"/>
      <w:sz w:val="30"/>
      <w:szCs w:val="44"/>
    </w:rPr>
  </w:style>
  <w:style w:type="paragraph" w:styleId="2">
    <w:name w:val="heading 2"/>
    <w:basedOn w:val="1"/>
    <w:next w:val="1"/>
    <w:qFormat/>
    <w:uiPriority w:val="0"/>
    <w:pPr>
      <w:keepNext/>
      <w:numPr>
        <w:ilvl w:val="0"/>
        <w:numId w:val="1"/>
      </w:numPr>
      <w:spacing w:line="240" w:lineRule="auto"/>
      <w:outlineLvl w:val="1"/>
    </w:pPr>
    <w:rPr>
      <w:b/>
      <w:bCs/>
      <w:sz w:val="28"/>
      <w:szCs w:val="20"/>
    </w:rPr>
  </w:style>
  <w:style w:type="paragraph" w:styleId="4">
    <w:name w:val="heading 3"/>
    <w:basedOn w:val="1"/>
    <w:next w:val="1"/>
    <w:qFormat/>
    <w:uiPriority w:val="99"/>
    <w:pPr>
      <w:keepNext/>
      <w:keepLines/>
      <w:spacing w:before="20" w:after="20" w:line="240" w:lineRule="auto"/>
      <w:outlineLvl w:val="2"/>
    </w:pPr>
    <w:rPr>
      <w:rFonts w:ascii="仿宋" w:hAnsi="仿宋" w:eastAsia="仿宋"/>
      <w:b/>
      <w:bCs/>
      <w:sz w:val="28"/>
      <w:szCs w:val="28"/>
    </w:rPr>
  </w:style>
  <w:style w:type="paragraph" w:styleId="5">
    <w:name w:val="heading 4"/>
    <w:next w:val="1"/>
    <w:unhideWhenUsed/>
    <w:qFormat/>
    <w:uiPriority w:val="9"/>
    <w:pPr>
      <w:keepNext/>
      <w:keepLines/>
      <w:numPr>
        <w:ilvl w:val="3"/>
        <w:numId w:val="2"/>
      </w:numPr>
      <w:spacing w:before="50" w:beforeLines="50" w:after="50" w:afterLines="50"/>
      <w:outlineLvl w:val="3"/>
    </w:pPr>
    <w:rPr>
      <w:rFonts w:eastAsia="宋体" w:asciiTheme="majorAscii" w:hAnsiTheme="majorAscii" w:cstheme="majorBidi"/>
      <w:bCs/>
      <w:kern w:val="2"/>
      <w:sz w:val="24"/>
      <w:szCs w:val="28"/>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next w:val="8"/>
    <w:qFormat/>
    <w:uiPriority w:val="0"/>
    <w:pPr>
      <w:spacing w:after="120"/>
    </w:pPr>
    <w:rPr>
      <w:rFonts w:ascii="Times New Roman" w:hAnsi="Times New Roman"/>
      <w:szCs w:val="24"/>
    </w:rPr>
  </w:style>
  <w:style w:type="paragraph" w:styleId="8">
    <w:name w:val="toc 4"/>
    <w:basedOn w:val="1"/>
    <w:next w:val="1"/>
    <w:qFormat/>
    <w:uiPriority w:val="0"/>
    <w:pPr>
      <w:ind w:left="1260" w:leftChars="600"/>
    </w:pPr>
  </w:style>
  <w:style w:type="paragraph" w:styleId="9">
    <w:name w:val="Body Text Indent"/>
    <w:basedOn w:val="1"/>
    <w:next w:val="10"/>
    <w:qFormat/>
    <w:uiPriority w:val="0"/>
    <w:pPr>
      <w:ind w:firstLine="420" w:firstLineChars="200"/>
    </w:pPr>
    <w:rPr>
      <w:rFonts w:ascii="Times New Roman" w:hAnsi="Times New Roman"/>
      <w:szCs w:val="20"/>
    </w:rPr>
  </w:style>
  <w:style w:type="paragraph" w:styleId="10">
    <w:name w:val="envelope return"/>
    <w:basedOn w:val="1"/>
    <w:unhideWhenUsed/>
    <w:qFormat/>
    <w:uiPriority w:val="99"/>
    <w:pPr>
      <w:snapToGrid w:val="0"/>
    </w:pPr>
    <w:rPr>
      <w:rFonts w:ascii="Arial" w:hAnsi="Arial"/>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tabs>
        <w:tab w:val="right" w:leader="dot" w:pos="8296"/>
      </w:tabs>
    </w:pPr>
    <w:rPr>
      <w:rFonts w:ascii="宋体" w:eastAsia="楷体_GB2312" w:cs="TimesNewRomanPSMT"/>
      <w:b/>
      <w:kern w:val="0"/>
      <w:sz w:val="28"/>
      <w:szCs w:val="20"/>
    </w:rPr>
  </w:style>
  <w:style w:type="paragraph" w:styleId="14">
    <w:name w:val="Body Text First Indent 2"/>
    <w:basedOn w:val="9"/>
    <w:unhideWhenUsed/>
    <w:qFormat/>
    <w:uiPriority w:val="99"/>
    <w:pPr>
      <w:ind w:left="420" w:firstLine="420" w:firstLineChars="200"/>
    </w:pPr>
    <w:rPr>
      <w:szCs w:val="24"/>
    </w:rPr>
  </w:style>
  <w:style w:type="table" w:styleId="16">
    <w:name w:val="Table Grid"/>
    <w:basedOn w:val="1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8">
    <w:name w:val="首行缩进"/>
    <w:basedOn w:val="1"/>
    <w:qFormat/>
    <w:uiPriority w:val="0"/>
    <w:pPr>
      <w:ind w:firstLine="480" w:firstLineChars="200"/>
    </w:pPr>
    <w:rPr>
      <w:rFonts w:ascii="Calibri" w:hAnsi="Calibri" w:eastAsia="宋体" w:cs="Times New Roman"/>
      <w:spacing w:val="-6"/>
      <w:sz w:val="96"/>
      <w:szCs w:val="96"/>
    </w:rPr>
  </w:style>
  <w:style w:type="table" w:customStyle="1" w:styleId="19">
    <w:name w:val="网格型1"/>
    <w:basedOn w:val="1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11"/>
    <w:basedOn w:val="17"/>
    <w:qFormat/>
    <w:uiPriority w:val="0"/>
    <w:rPr>
      <w:rFonts w:ascii="Calibri" w:hAnsi="Calibri" w:cs="Calibri"/>
      <w:color w:val="000000"/>
      <w:sz w:val="28"/>
      <w:szCs w:val="28"/>
      <w:u w:val="none"/>
    </w:rPr>
  </w:style>
  <w:style w:type="character" w:customStyle="1" w:styleId="21">
    <w:name w:val="font01"/>
    <w:basedOn w:val="17"/>
    <w:qFormat/>
    <w:uiPriority w:val="0"/>
    <w:rPr>
      <w:rFonts w:hint="eastAsia" w:ascii="宋体" w:hAnsi="宋体" w:eastAsia="宋体" w:cs="宋体"/>
      <w:color w:val="000000"/>
      <w:sz w:val="28"/>
      <w:szCs w:val="28"/>
      <w:u w:val="none"/>
    </w:rPr>
  </w:style>
  <w:style w:type="paragraph" w:customStyle="1" w:styleId="22">
    <w:name w:val="表格内容"/>
    <w:basedOn w:val="23"/>
    <w:qFormat/>
    <w:uiPriority w:val="0"/>
    <w:pPr>
      <w:suppressLineNumbers/>
    </w:pPr>
  </w:style>
  <w:style w:type="paragraph" w:customStyle="1" w:styleId="23">
    <w:name w:val="正文1"/>
    <w:basedOn w:val="1"/>
    <w:qFormat/>
    <w:uiPriority w:val="0"/>
    <w:pPr>
      <w:widowControl/>
      <w:spacing w:line="360" w:lineRule="auto"/>
      <w:ind w:left="360" w:firstLine="420"/>
      <w:jc w:val="left"/>
    </w:pPr>
    <w:rPr>
      <w:rFonts w:ascii="??_GB2312" w:hAnsi="??_GB2312" w:cs="??_GB2312"/>
      <w:kern w:val="1"/>
      <w:szCs w:val="21"/>
    </w:rPr>
  </w:style>
  <w:style w:type="paragraph" w:styleId="24">
    <w:name w:val="List Paragraph"/>
    <w:basedOn w:val="1"/>
    <w:unhideWhenUsed/>
    <w:qFormat/>
    <w:uiPriority w:val="99"/>
    <w:pPr>
      <w:ind w:firstLine="420" w:firstLineChars="200"/>
    </w:pPr>
  </w:style>
  <w:style w:type="paragraph" w:customStyle="1" w:styleId="25">
    <w:name w:val="BodyText1I"/>
    <w:basedOn w:val="26"/>
    <w:next w:val="1"/>
    <w:qFormat/>
    <w:uiPriority w:val="0"/>
    <w:pPr>
      <w:ind w:firstLine="420" w:firstLineChars="100"/>
    </w:pPr>
  </w:style>
  <w:style w:type="paragraph" w:customStyle="1" w:styleId="26">
    <w:name w:val="BodyText"/>
    <w:basedOn w:val="1"/>
    <w:next w:val="27"/>
    <w:qFormat/>
    <w:uiPriority w:val="0"/>
    <w:pPr>
      <w:textAlignment w:val="baseline"/>
    </w:pPr>
    <w:rPr>
      <w:rFonts w:ascii="宋体" w:hAnsi="宋体"/>
      <w:szCs w:val="21"/>
      <w:lang w:val="zh-CN" w:bidi="zh-CN"/>
    </w:rPr>
  </w:style>
  <w:style w:type="paragraph" w:customStyle="1" w:styleId="27">
    <w:name w:val="TOC2"/>
    <w:basedOn w:val="1"/>
    <w:next w:val="1"/>
    <w:qFormat/>
    <w:uiPriority w:val="0"/>
    <w:pPr>
      <w:ind w:left="420" w:leftChars="200"/>
      <w:textAlignment w:val="baseline"/>
    </w:pPr>
  </w:style>
  <w:style w:type="paragraph" w:customStyle="1" w:styleId="28">
    <w:name w:val="(a)"/>
    <w:basedOn w:val="24"/>
    <w:qFormat/>
    <w:uiPriority w:val="0"/>
    <w:pPr>
      <w:numPr>
        <w:ilvl w:val="0"/>
        <w:numId w:val="3"/>
      </w:numPr>
      <w:ind w:firstLineChars="0"/>
    </w:pPr>
  </w:style>
  <w:style w:type="paragraph" w:customStyle="1" w:styleId="29">
    <w:name w:val="段"/>
    <w:qFormat/>
    <w:uiPriority w:val="0"/>
    <w:pPr>
      <w:tabs>
        <w:tab w:val="center" w:pos="4201"/>
        <w:tab w:val="right" w:leader="dot" w:pos="9298"/>
      </w:tabs>
      <w:autoSpaceDE w:val="0"/>
      <w:autoSpaceDN w:val="0"/>
      <w:spacing w:line="360" w:lineRule="auto"/>
      <w:ind w:firstLine="482"/>
      <w:jc w:val="both"/>
    </w:pPr>
    <w:rPr>
      <w:rFonts w:ascii="宋体" w:hAnsi="Times New Roman" w:eastAsia="宋体" w:cs="Times New Roman"/>
      <w:sz w:val="21"/>
      <w:lang w:val="en-US" w:eastAsia="zh-CN" w:bidi="ar-SA"/>
    </w:rPr>
  </w:style>
  <w:style w:type="character" w:customStyle="1" w:styleId="30">
    <w:name w:val="标题 1 Char"/>
    <w:link w:val="3"/>
    <w:qFormat/>
    <w:uiPriority w:val="9"/>
    <w:rPr>
      <w:rFonts w:asciiTheme="minorAscii" w:hAnsiTheme="minorAscii" w:eastAsiaTheme="minorEastAsia"/>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14</Pages>
  <Words>7336</Words>
  <Characters>8217</Characters>
  <Lines>28</Lines>
  <Paragraphs>7</Paragraphs>
  <TotalTime>66</TotalTime>
  <ScaleCrop>false</ScaleCrop>
  <LinksUpToDate>false</LinksUpToDate>
  <CharactersWithSpaces>8259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2022-03-06T05:51:00Z</dcterms:created>
  <dc:creator>lenovo</dc:creator>
  <cp:lastModifiedBy>A盖世小可爱</cp:lastModifiedBy>
  <cp:lastPrinted>2022-03-07T02:58:00Z</cp:lastPrinted>
  <dcterms:modified xsi:type="dcterms:W3CDTF">2023-08-07T08:44:55Z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7317DFA32CEA4658B8A20869D3285CD2_13</vt:lpwstr>
  </property>
</Properties>
</file>