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val="0"/>
          <w:bCs w:val="0"/>
          <w:color w:val="auto"/>
          <w:sz w:val="36"/>
          <w:szCs w:val="36"/>
          <w:lang w:val="en-US" w:eastAsia="zh-CN"/>
        </w:rPr>
      </w:pPr>
      <w:bookmarkStart w:id="0" w:name="_GoBack"/>
      <w:r>
        <w:rPr>
          <w:rFonts w:hint="eastAsia" w:ascii="宋体" w:hAnsi="宋体" w:eastAsia="宋体" w:cs="宋体"/>
          <w:b w:val="0"/>
          <w:bCs w:val="0"/>
          <w:color w:val="auto"/>
          <w:sz w:val="36"/>
          <w:szCs w:val="36"/>
        </w:rPr>
        <w:t>浙江</w:t>
      </w:r>
      <w:r>
        <w:rPr>
          <w:rFonts w:hint="eastAsia" w:ascii="宋体" w:hAnsi="宋体" w:eastAsia="宋体" w:cs="宋体"/>
          <w:b w:val="0"/>
          <w:bCs w:val="0"/>
          <w:color w:val="auto"/>
          <w:sz w:val="36"/>
          <w:szCs w:val="36"/>
          <w:lang w:eastAsia="zh-Hans"/>
        </w:rPr>
        <w:t>水利水电学院</w:t>
      </w:r>
      <w:r>
        <w:rPr>
          <w:rFonts w:hint="eastAsia" w:ascii="宋体" w:hAnsi="宋体" w:eastAsia="宋体" w:cs="宋体"/>
          <w:b w:val="0"/>
          <w:bCs w:val="0"/>
          <w:color w:val="auto"/>
          <w:sz w:val="36"/>
          <w:szCs w:val="36"/>
        </w:rPr>
        <w:t>电瓶车智能充电</w:t>
      </w:r>
      <w:r>
        <w:rPr>
          <w:rFonts w:hint="eastAsia" w:ascii="宋体" w:hAnsi="宋体" w:eastAsia="宋体" w:cs="宋体"/>
          <w:b w:val="0"/>
          <w:bCs w:val="0"/>
          <w:color w:val="auto"/>
          <w:sz w:val="36"/>
          <w:szCs w:val="36"/>
          <w:lang w:eastAsia="zh-CN"/>
        </w:rPr>
        <w:t>合作项目</w:t>
      </w:r>
      <w:r>
        <w:rPr>
          <w:rFonts w:hint="eastAsia" w:ascii="宋体" w:hAnsi="宋体" w:eastAsia="宋体" w:cs="宋体"/>
          <w:b w:val="0"/>
          <w:bCs w:val="0"/>
          <w:color w:val="auto"/>
          <w:sz w:val="36"/>
          <w:szCs w:val="36"/>
          <w:lang w:val="en-US" w:eastAsia="zh-CN"/>
        </w:rPr>
        <w:t>报价单及承诺书</w:t>
      </w:r>
    </w:p>
    <w:bookmarkEnd w:id="0"/>
    <w:p>
      <w:pPr>
        <w:pStyle w:val="4"/>
        <w:bidi w:val="0"/>
        <w:jc w:val="center"/>
        <w:rPr>
          <w:rFonts w:hint="default"/>
          <w:lang w:val="en-US" w:eastAsia="zh-CN"/>
        </w:rPr>
      </w:pPr>
      <w:r>
        <w:rPr>
          <w:rFonts w:hint="eastAsia"/>
          <w:lang w:val="en-US" w:eastAsia="zh-CN"/>
        </w:rPr>
        <w:t>报价单</w:t>
      </w:r>
    </w:p>
    <w:p>
      <w:pPr>
        <w:spacing w:line="360" w:lineRule="auto"/>
        <w:ind w:firstLine="480" w:firstLineChars="200"/>
        <w:rPr>
          <w:rFonts w:hint="default" w:ascii="宋体" w:hAnsi="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eastAsia="zh-CN"/>
        </w:rPr>
        <w:t>按每个充电口不低于</w:t>
      </w:r>
      <w:r>
        <w:rPr>
          <w:rFonts w:hint="eastAsia" w:ascii="宋体" w:hAnsi="宋体" w:eastAsia="宋体" w:cs="宋体"/>
          <w:b w:val="0"/>
          <w:bCs w:val="0"/>
          <w:color w:val="auto"/>
          <w:kern w:val="0"/>
          <w:sz w:val="24"/>
          <w:highlight w:val="none"/>
          <w:lang w:val="en-US" w:eastAsia="zh-CN"/>
        </w:rPr>
        <w:t>15元/个/年管理费起投，总数300个，价高的投标者中。</w:t>
      </w:r>
    </w:p>
    <w:tbl>
      <w:tblPr>
        <w:tblStyle w:val="6"/>
        <w:tblpPr w:leftFromText="180" w:rightFromText="180" w:vertAnchor="text" w:horzAnchor="page" w:tblpX="2115" w:tblpY="373"/>
        <w:tblOverlap w:val="never"/>
        <w:tblW w:w="82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5"/>
        <w:gridCol w:w="1621"/>
        <w:gridCol w:w="1304"/>
        <w:gridCol w:w="2460"/>
        <w:gridCol w:w="1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225" w:type="dxa"/>
            <w:vMerge w:val="restart"/>
            <w:shd w:val="clear" w:color="auto" w:fill="auto"/>
            <w:vAlign w:val="center"/>
          </w:tcPr>
          <w:p>
            <w:pPr>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合作经营管理费</w:t>
            </w:r>
          </w:p>
        </w:tc>
        <w:tc>
          <w:tcPr>
            <w:tcW w:w="1621" w:type="dxa"/>
            <w:shd w:val="clear" w:color="auto" w:fill="auto"/>
            <w:vAlign w:val="center"/>
          </w:tcPr>
          <w:p>
            <w:pPr>
              <w:spacing w:line="36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充电口（个）</w:t>
            </w:r>
          </w:p>
        </w:tc>
        <w:tc>
          <w:tcPr>
            <w:tcW w:w="1304" w:type="dxa"/>
            <w:shd w:val="clear" w:color="auto" w:fill="auto"/>
            <w:vAlign w:val="center"/>
          </w:tcPr>
          <w:p>
            <w:pPr>
              <w:spacing w:line="36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年数</w:t>
            </w:r>
          </w:p>
        </w:tc>
        <w:tc>
          <w:tcPr>
            <w:tcW w:w="2460" w:type="dxa"/>
            <w:shd w:val="clear" w:color="auto" w:fill="auto"/>
            <w:vAlign w:val="center"/>
          </w:tcPr>
          <w:p>
            <w:pPr>
              <w:spacing w:line="360" w:lineRule="auto"/>
              <w:jc w:val="center"/>
              <w:rPr>
                <w:rFonts w:hint="eastAsia" w:ascii="宋体" w:hAnsi="宋体" w:eastAsia="宋体" w:cs="宋体"/>
                <w:color w:val="auto"/>
                <w:sz w:val="24"/>
                <w:szCs w:val="24"/>
                <w:highlight w:val="yellow"/>
                <w:lang w:eastAsia="zh-CN"/>
              </w:rPr>
            </w:pPr>
            <w:r>
              <w:rPr>
                <w:rFonts w:hint="eastAsia" w:ascii="宋体" w:hAnsi="宋体" w:eastAsia="宋体" w:cs="宋体"/>
                <w:color w:val="auto"/>
                <w:sz w:val="24"/>
                <w:szCs w:val="24"/>
                <w:highlight w:val="yellow"/>
                <w:lang w:eastAsia="zh-CN"/>
              </w:rPr>
              <w:t>预算</w:t>
            </w:r>
            <w:r>
              <w:rPr>
                <w:rFonts w:hint="eastAsia" w:ascii="宋体" w:hAnsi="宋体" w:eastAsia="宋体" w:cs="宋体"/>
                <w:color w:val="auto"/>
                <w:sz w:val="24"/>
                <w:szCs w:val="24"/>
                <w:highlight w:val="yellow"/>
                <w:lang w:val="en-US" w:eastAsia="zh-CN"/>
              </w:rPr>
              <w:t>单价</w:t>
            </w:r>
            <w:r>
              <w:rPr>
                <w:rFonts w:hint="eastAsia" w:ascii="宋体" w:hAnsi="宋体" w:eastAsia="宋体" w:cs="宋体"/>
                <w:color w:val="auto"/>
                <w:sz w:val="24"/>
                <w:szCs w:val="24"/>
                <w:highlight w:val="yellow"/>
              </w:rPr>
              <w:t>管理费</w:t>
            </w:r>
            <w:r>
              <w:rPr>
                <w:rFonts w:hint="eastAsia" w:ascii="宋体" w:hAnsi="宋体" w:eastAsia="宋体" w:cs="宋体"/>
                <w:color w:val="auto"/>
                <w:sz w:val="24"/>
                <w:szCs w:val="24"/>
                <w:highlight w:val="yellow"/>
                <w:lang w:eastAsia="zh-CN"/>
              </w:rPr>
              <w:t>（</w:t>
            </w:r>
            <w:r>
              <w:rPr>
                <w:rFonts w:hint="eastAsia" w:ascii="宋体" w:hAnsi="宋体" w:eastAsia="宋体" w:cs="宋体"/>
                <w:color w:val="auto"/>
                <w:sz w:val="24"/>
                <w:szCs w:val="24"/>
                <w:highlight w:val="yellow"/>
                <w:lang w:val="en-US" w:eastAsia="zh-CN"/>
              </w:rPr>
              <w:t>个/</w:t>
            </w:r>
            <w:r>
              <w:rPr>
                <w:rFonts w:hint="eastAsia" w:ascii="宋体" w:hAnsi="宋体" w:eastAsia="宋体" w:cs="宋体"/>
                <w:color w:val="auto"/>
                <w:sz w:val="24"/>
                <w:szCs w:val="24"/>
                <w:highlight w:val="yellow"/>
                <w:lang w:eastAsia="zh-CN"/>
              </w:rPr>
              <w:t>元</w:t>
            </w:r>
            <w:r>
              <w:rPr>
                <w:rFonts w:hint="eastAsia" w:ascii="宋体" w:hAnsi="宋体" w:eastAsia="宋体" w:cs="宋体"/>
                <w:color w:val="auto"/>
                <w:sz w:val="24"/>
                <w:szCs w:val="24"/>
                <w:highlight w:val="yellow"/>
                <w:lang w:val="en-US" w:eastAsia="zh-CN"/>
              </w:rPr>
              <w:t>/年</w:t>
            </w:r>
            <w:r>
              <w:rPr>
                <w:rFonts w:hint="eastAsia" w:ascii="宋体" w:hAnsi="宋体" w:eastAsia="宋体" w:cs="宋体"/>
                <w:color w:val="auto"/>
                <w:sz w:val="24"/>
                <w:szCs w:val="24"/>
                <w:highlight w:val="yellow"/>
                <w:lang w:eastAsia="zh-CN"/>
              </w:rPr>
              <w:t>）</w:t>
            </w:r>
          </w:p>
        </w:tc>
        <w:tc>
          <w:tcPr>
            <w:tcW w:w="1665" w:type="dxa"/>
            <w:shd w:val="clear" w:color="auto" w:fill="auto"/>
            <w:vAlign w:val="center"/>
          </w:tcPr>
          <w:p>
            <w:pPr>
              <w:spacing w:line="360" w:lineRule="auto"/>
              <w:jc w:val="center"/>
              <w:rPr>
                <w:rFonts w:hint="eastAsia" w:ascii="宋体" w:hAnsi="宋体" w:eastAsia="宋体" w:cs="宋体"/>
                <w:color w:val="auto"/>
                <w:sz w:val="24"/>
                <w:szCs w:val="24"/>
                <w:highlight w:val="yellow"/>
                <w:lang w:eastAsia="zh-CN"/>
              </w:rPr>
            </w:pPr>
            <w:r>
              <w:rPr>
                <w:rFonts w:hint="eastAsia" w:ascii="宋体" w:hAnsi="宋体" w:eastAsia="宋体" w:cs="宋体"/>
                <w:color w:val="auto"/>
                <w:sz w:val="24"/>
                <w:szCs w:val="24"/>
                <w:highlight w:val="yellow"/>
                <w:lang w:eastAsia="zh-CN"/>
              </w:rPr>
              <w:t>预算</w:t>
            </w:r>
            <w:r>
              <w:rPr>
                <w:rFonts w:hint="eastAsia" w:ascii="宋体" w:hAnsi="宋体" w:eastAsia="宋体" w:cs="宋体"/>
                <w:color w:val="auto"/>
                <w:sz w:val="24"/>
                <w:szCs w:val="24"/>
                <w:highlight w:val="yellow"/>
                <w:lang w:val="en-US" w:eastAsia="zh-CN"/>
              </w:rPr>
              <w:t>总</w:t>
            </w:r>
            <w:r>
              <w:rPr>
                <w:rFonts w:hint="eastAsia" w:ascii="宋体" w:hAnsi="宋体" w:eastAsia="宋体" w:cs="宋体"/>
                <w:color w:val="auto"/>
                <w:sz w:val="24"/>
                <w:szCs w:val="24"/>
                <w:highlight w:val="yellow"/>
                <w:lang w:eastAsia="zh-CN"/>
              </w:rPr>
              <w:t>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225" w:type="dxa"/>
            <w:vMerge w:val="continue"/>
            <w:vAlign w:val="center"/>
          </w:tcPr>
          <w:p>
            <w:pPr>
              <w:spacing w:line="360" w:lineRule="auto"/>
              <w:jc w:val="center"/>
              <w:rPr>
                <w:rFonts w:hint="eastAsia" w:ascii="宋体" w:hAnsi="宋体" w:eastAsia="宋体" w:cs="宋体"/>
                <w:color w:val="auto"/>
                <w:sz w:val="24"/>
                <w:szCs w:val="24"/>
                <w:lang w:val="en-US" w:eastAsia="zh-CN"/>
              </w:rPr>
            </w:pPr>
          </w:p>
        </w:tc>
        <w:tc>
          <w:tcPr>
            <w:tcW w:w="1621" w:type="dxa"/>
            <w:vAlign w:val="center"/>
          </w:tcPr>
          <w:p>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300</w:t>
            </w:r>
          </w:p>
        </w:tc>
        <w:tc>
          <w:tcPr>
            <w:tcW w:w="1304" w:type="dxa"/>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2460" w:type="dxa"/>
            <w:vAlign w:val="center"/>
          </w:tcPr>
          <w:p>
            <w:pPr>
              <w:spacing w:line="360" w:lineRule="auto"/>
              <w:jc w:val="center"/>
              <w:rPr>
                <w:rFonts w:hint="default" w:ascii="宋体" w:hAnsi="宋体" w:eastAsia="宋体" w:cs="宋体"/>
                <w:color w:val="auto"/>
                <w:sz w:val="24"/>
                <w:szCs w:val="24"/>
                <w:highlight w:val="yellow"/>
                <w:lang w:val="en-US" w:eastAsia="zh-CN"/>
              </w:rPr>
            </w:pPr>
          </w:p>
        </w:tc>
        <w:tc>
          <w:tcPr>
            <w:tcW w:w="1665" w:type="dxa"/>
            <w:vAlign w:val="center"/>
          </w:tcPr>
          <w:p>
            <w:pPr>
              <w:spacing w:line="360" w:lineRule="auto"/>
              <w:jc w:val="center"/>
              <w:rPr>
                <w:rFonts w:hint="default" w:ascii="宋体" w:hAnsi="宋体" w:eastAsia="宋体" w:cs="宋体"/>
                <w:color w:val="auto"/>
                <w:sz w:val="24"/>
                <w:szCs w:val="24"/>
                <w:highlight w:val="yellow"/>
                <w:lang w:val="en-US" w:eastAsia="zh-CN"/>
              </w:rPr>
            </w:pPr>
          </w:p>
        </w:tc>
      </w:tr>
    </w:tbl>
    <w:p>
      <w:pPr>
        <w:pStyle w:val="2"/>
        <w:numPr>
          <w:numId w:val="0"/>
        </w:numPr>
        <w:rPr>
          <w:rFonts w:hint="default"/>
          <w:lang w:val="en-US" w:eastAsia="zh-CN"/>
        </w:rPr>
      </w:pPr>
    </w:p>
    <w:p/>
    <w:p>
      <w:pPr>
        <w:pStyle w:val="2"/>
        <w:numPr>
          <w:numId w:val="0"/>
        </w:numPr>
        <w:rPr>
          <w:rFonts w:hint="default"/>
          <w:lang w:val="en-US" w:eastAsia="zh-CN"/>
        </w:rPr>
      </w:pPr>
      <w:r>
        <w:rPr>
          <w:rFonts w:hint="eastAsia"/>
          <w:lang w:val="en-US" w:eastAsia="zh-CN"/>
        </w:rPr>
        <w:t xml:space="preserve">   </w:t>
      </w:r>
      <w:r>
        <w:rPr>
          <w:rFonts w:hint="eastAsia"/>
          <w:b w:val="0"/>
          <w:bCs w:val="0"/>
          <w:lang w:val="en-US" w:eastAsia="zh-CN"/>
        </w:rPr>
        <w:t xml:space="preserve"> 注：投标人需满足浙江水利水电学院电瓶车智能充电合作项目技术指标要求。</w:t>
      </w:r>
    </w:p>
    <w:p>
      <w:pPr>
        <w:pStyle w:val="2"/>
        <w:numPr>
          <w:numId w:val="0"/>
        </w:numPr>
        <w:rPr>
          <w:rFonts w:hint="default"/>
          <w:lang w:val="en-US" w:eastAsia="zh-CN"/>
        </w:rPr>
      </w:pPr>
    </w:p>
    <w:p>
      <w:pPr>
        <w:rPr>
          <w:rFonts w:hint="eastAsia"/>
          <w:lang w:val="en-US" w:eastAsia="zh-CN"/>
        </w:rPr>
      </w:pPr>
    </w:p>
    <w:p>
      <w:pPr>
        <w:pStyle w:val="2"/>
        <w:numPr>
          <w:numId w:val="0"/>
        </w:numPr>
        <w:tabs>
          <w:tab w:val="clear" w:pos="5682"/>
        </w:tabs>
        <w:ind w:left="4962" w:leftChars="0"/>
        <w:rPr>
          <w:rFonts w:hint="default"/>
          <w:lang w:val="en-US" w:eastAsia="zh-CN"/>
        </w:rPr>
      </w:pPr>
    </w:p>
    <w:p>
      <w:pPr>
        <w:rPr>
          <w:rFonts w:hint="eastAsia"/>
          <w:lang w:val="en-US" w:eastAsia="zh-CN"/>
        </w:rPr>
      </w:pPr>
    </w:p>
    <w:p>
      <w:pPr>
        <w:pStyle w:val="2"/>
        <w:numPr>
          <w:numId w:val="0"/>
        </w:numPr>
        <w:tabs>
          <w:tab w:val="clear" w:pos="5682"/>
        </w:tabs>
        <w:ind w:left="4962" w:leftChars="0"/>
        <w:rPr>
          <w:rFonts w:hint="default"/>
          <w:lang w:val="en-US" w:eastAsia="zh-CN"/>
        </w:rPr>
      </w:pPr>
    </w:p>
    <w:p>
      <w:pPr>
        <w:rPr>
          <w:rFonts w:hint="eastAsia"/>
          <w:lang w:val="en-US" w:eastAsia="zh-CN"/>
        </w:rPr>
      </w:pPr>
    </w:p>
    <w:p>
      <w:pPr>
        <w:pStyle w:val="2"/>
        <w:numPr>
          <w:numId w:val="0"/>
        </w:numPr>
        <w:tabs>
          <w:tab w:val="clear" w:pos="5682"/>
        </w:tabs>
        <w:ind w:left="4962" w:leftChars="0"/>
        <w:rPr>
          <w:rFonts w:hint="default"/>
          <w:lang w:val="en-US" w:eastAsia="zh-CN"/>
        </w:rPr>
      </w:pPr>
    </w:p>
    <w:p>
      <w:pPr>
        <w:rPr>
          <w:rFonts w:hint="eastAsia"/>
          <w:lang w:val="en-US" w:eastAsia="zh-CN"/>
        </w:rPr>
      </w:pPr>
    </w:p>
    <w:p>
      <w:pPr>
        <w:pStyle w:val="2"/>
        <w:numPr>
          <w:numId w:val="0"/>
        </w:numPr>
        <w:tabs>
          <w:tab w:val="clear" w:pos="5682"/>
        </w:tabs>
        <w:ind w:left="4962" w:leftChars="0"/>
        <w:rPr>
          <w:rFonts w:hint="default"/>
          <w:lang w:val="en-US" w:eastAsia="zh-CN"/>
        </w:rPr>
      </w:pPr>
    </w:p>
    <w:p>
      <w:pPr>
        <w:pStyle w:val="2"/>
        <w:numPr>
          <w:numId w:val="0"/>
        </w:numPr>
        <w:rPr>
          <w:rFonts w:hint="default"/>
          <w:lang w:val="en-US" w:eastAsia="zh-CN"/>
        </w:rPr>
      </w:pPr>
    </w:p>
    <w:p>
      <w:pPr>
        <w:rPr>
          <w:rFonts w:hint="default"/>
          <w:lang w:val="en-US" w:eastAsia="zh-CN"/>
        </w:rPr>
      </w:pPr>
    </w:p>
    <w:p>
      <w:pPr>
        <w:pStyle w:val="2"/>
        <w:numPr>
          <w:numId w:val="0"/>
        </w:numPr>
        <w:tabs>
          <w:tab w:val="clear" w:pos="5682"/>
        </w:tabs>
        <w:ind w:left="5682" w:leftChars="0" w:hanging="720" w:firstLineChars="0"/>
        <w:rPr>
          <w:rFonts w:hint="default"/>
          <w:lang w:val="en-US" w:eastAsia="zh-CN"/>
        </w:rPr>
      </w:pPr>
    </w:p>
    <w:p>
      <w:pPr>
        <w:rPr>
          <w:rFonts w:hint="default"/>
          <w:lang w:val="en-US" w:eastAsia="zh-CN"/>
        </w:rPr>
      </w:pPr>
    </w:p>
    <w:p>
      <w:pPr>
        <w:pStyle w:val="2"/>
        <w:numPr>
          <w:numId w:val="0"/>
        </w:numPr>
        <w:tabs>
          <w:tab w:val="clear" w:pos="5682"/>
        </w:tabs>
        <w:rPr>
          <w:rFonts w:hint="default"/>
          <w:lang w:val="en-US" w:eastAsia="zh-CN"/>
        </w:rPr>
      </w:pPr>
    </w:p>
    <w:p>
      <w:pPr>
        <w:rPr>
          <w:rFonts w:hint="default"/>
          <w:lang w:val="en-US" w:eastAsia="zh-CN"/>
        </w:rPr>
      </w:pPr>
    </w:p>
    <w:p>
      <w:pPr>
        <w:pStyle w:val="2"/>
        <w:numPr>
          <w:numId w:val="0"/>
        </w:numPr>
        <w:tabs>
          <w:tab w:val="clear" w:pos="5682"/>
        </w:tabs>
        <w:ind w:left="5280" w:leftChars="0"/>
        <w:rPr>
          <w:rFonts w:hint="default"/>
          <w:lang w:val="en-US" w:eastAsia="zh-CN"/>
        </w:rPr>
      </w:pPr>
    </w:p>
    <w:p>
      <w:pPr>
        <w:rPr>
          <w:rFonts w:hint="default"/>
          <w:lang w:val="en-US" w:eastAsia="zh-CN"/>
        </w:rPr>
      </w:pPr>
    </w:p>
    <w:p>
      <w:pPr>
        <w:rPr>
          <w:rFonts w:hint="default"/>
          <w:lang w:val="en-US" w:eastAsia="zh-CN"/>
        </w:rPr>
      </w:pPr>
    </w:p>
    <w:p>
      <w:pPr>
        <w:pStyle w:val="2"/>
        <w:numPr>
          <w:numId w:val="0"/>
        </w:numPr>
        <w:ind w:left="5280" w:leftChars="0"/>
        <w:rPr>
          <w:rFonts w:hint="default"/>
          <w:lang w:val="en-US" w:eastAsia="zh-CN"/>
        </w:rPr>
      </w:pPr>
    </w:p>
    <w:p>
      <w:pPr>
        <w:pStyle w:val="5"/>
        <w:jc w:val="center"/>
        <w:rPr>
          <w:rFonts w:hint="eastAsia" w:ascii="仿宋" w:hAnsi="仿宋" w:eastAsia="仿宋" w:cs="仿宋"/>
          <w:b/>
          <w:bCs/>
          <w:sz w:val="30"/>
          <w:szCs w:val="30"/>
        </w:rPr>
      </w:pPr>
      <w:r>
        <w:rPr>
          <w:rFonts w:hint="eastAsia" w:ascii="仿宋" w:hAnsi="仿宋" w:eastAsia="仿宋" w:cs="仿宋"/>
          <w:b/>
          <w:bCs/>
          <w:sz w:val="30"/>
          <w:szCs w:val="30"/>
        </w:rPr>
        <w:t>具有履行合同所必需的设备和专业技术能力的承诺函</w:t>
      </w:r>
    </w:p>
    <w:p>
      <w:pPr>
        <w:pStyle w:val="5"/>
        <w:rPr>
          <w:rFonts w:hint="eastAsia" w:ascii="仿宋" w:hAnsi="仿宋" w:eastAsia="仿宋" w:cs="仿宋"/>
          <w:sz w:val="24"/>
          <w:szCs w:val="24"/>
        </w:rPr>
      </w:pPr>
    </w:p>
    <w:p>
      <w:pPr>
        <w:pStyle w:val="5"/>
        <w:keepNext w:val="0"/>
        <w:keepLines w:val="0"/>
        <w:pageBreakBefore w:val="0"/>
        <w:widowControl w:val="0"/>
        <w:kinsoku/>
        <w:wordWrap/>
        <w:overflowPunct/>
        <w:topLinePunct w:val="0"/>
        <w:autoSpaceDE/>
        <w:autoSpaceDN/>
        <w:bidi w:val="0"/>
        <w:adjustRightInd w:val="0"/>
        <w:snapToGrid/>
        <w:spacing w:line="700" w:lineRule="exact"/>
        <w:textAlignment w:val="baseline"/>
        <w:rPr>
          <w:rFonts w:hint="eastAsia" w:ascii="仿宋" w:hAnsi="仿宋" w:eastAsia="仿宋" w:cs="仿宋"/>
          <w:sz w:val="30"/>
          <w:szCs w:val="30"/>
          <w:lang w:val="en-US" w:eastAsia="zh-CN"/>
        </w:rPr>
      </w:pPr>
      <w:r>
        <w:rPr>
          <w:rFonts w:hint="eastAsia" w:ascii="仿宋" w:hAnsi="仿宋" w:eastAsia="仿宋" w:cs="仿宋"/>
          <w:sz w:val="30"/>
          <w:szCs w:val="30"/>
        </w:rPr>
        <w:t>采购人：</w:t>
      </w:r>
      <w:r>
        <w:rPr>
          <w:rFonts w:hint="eastAsia" w:ascii="仿宋" w:hAnsi="仿宋" w:eastAsia="仿宋" w:cs="仿宋"/>
          <w:sz w:val="30"/>
          <w:szCs w:val="30"/>
          <w:lang w:val="en-US" w:eastAsia="zh-CN"/>
        </w:rPr>
        <w:t>浙江水利水电学院</w:t>
      </w:r>
    </w:p>
    <w:p>
      <w:pPr>
        <w:pStyle w:val="5"/>
        <w:keepNext w:val="0"/>
        <w:keepLines w:val="0"/>
        <w:pageBreakBefore w:val="0"/>
        <w:widowControl w:val="0"/>
        <w:kinsoku/>
        <w:wordWrap/>
        <w:overflowPunct/>
        <w:topLinePunct w:val="0"/>
        <w:autoSpaceDE/>
        <w:autoSpaceDN/>
        <w:bidi w:val="0"/>
        <w:adjustRightInd w:val="0"/>
        <w:snapToGrid/>
        <w:spacing w:line="700" w:lineRule="exact"/>
        <w:ind w:firstLine="600" w:firstLineChars="200"/>
        <w:textAlignment w:val="baseline"/>
        <w:rPr>
          <w:rFonts w:hint="eastAsia" w:ascii="仿宋" w:hAnsi="仿宋" w:eastAsia="仿宋" w:cs="仿宋"/>
          <w:sz w:val="30"/>
          <w:szCs w:val="30"/>
        </w:rPr>
      </w:pPr>
      <w:r>
        <w:rPr>
          <w:rFonts w:hint="eastAsia" w:ascii="仿宋" w:hAnsi="仿宋" w:eastAsia="仿宋" w:cs="仿宋"/>
          <w:sz w:val="30"/>
          <w:szCs w:val="30"/>
        </w:rPr>
        <w:t>我方 （</w:t>
      </w:r>
      <w:r>
        <w:rPr>
          <w:rFonts w:hint="eastAsia" w:ascii="仿宋" w:hAnsi="仿宋" w:eastAsia="仿宋" w:cs="仿宋"/>
          <w:sz w:val="30"/>
          <w:szCs w:val="30"/>
          <w:lang w:val="en-US" w:eastAsia="zh-CN"/>
        </w:rPr>
        <w:t>公司名称</w:t>
      </w:r>
      <w:r>
        <w:rPr>
          <w:rFonts w:hint="eastAsia" w:ascii="仿宋" w:hAnsi="仿宋" w:eastAsia="仿宋" w:cs="仿宋"/>
          <w:sz w:val="30"/>
          <w:szCs w:val="30"/>
        </w:rPr>
        <w:t>）</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rPr>
        <w:t>承诺具有履行合同所必需的设备和专业技术能力。如有虚假，采购人可取消我方任何资格（投标/中标/签订合同），我方对此无任何异议。</w:t>
      </w:r>
    </w:p>
    <w:p>
      <w:pPr>
        <w:pStyle w:val="5"/>
        <w:keepNext w:val="0"/>
        <w:keepLines w:val="0"/>
        <w:pageBreakBefore w:val="0"/>
        <w:widowControl w:val="0"/>
        <w:kinsoku/>
        <w:wordWrap/>
        <w:overflowPunct/>
        <w:topLinePunct w:val="0"/>
        <w:autoSpaceDE/>
        <w:autoSpaceDN/>
        <w:bidi w:val="0"/>
        <w:adjustRightInd w:val="0"/>
        <w:snapToGrid/>
        <w:spacing w:line="700" w:lineRule="exact"/>
        <w:textAlignment w:val="baseline"/>
        <w:rPr>
          <w:rFonts w:hint="eastAsia" w:ascii="仿宋" w:hAnsi="仿宋" w:eastAsia="仿宋" w:cs="仿宋"/>
          <w:sz w:val="30"/>
          <w:szCs w:val="30"/>
        </w:rPr>
      </w:pPr>
    </w:p>
    <w:p>
      <w:pPr>
        <w:pStyle w:val="5"/>
        <w:keepNext w:val="0"/>
        <w:keepLines w:val="0"/>
        <w:pageBreakBefore w:val="0"/>
        <w:widowControl w:val="0"/>
        <w:kinsoku/>
        <w:wordWrap/>
        <w:overflowPunct/>
        <w:topLinePunct w:val="0"/>
        <w:autoSpaceDE/>
        <w:autoSpaceDN/>
        <w:bidi w:val="0"/>
        <w:adjustRightInd w:val="0"/>
        <w:snapToGrid/>
        <w:spacing w:line="700" w:lineRule="exact"/>
        <w:textAlignment w:val="baseline"/>
        <w:rPr>
          <w:rFonts w:hint="eastAsia" w:ascii="仿宋" w:hAnsi="仿宋" w:eastAsia="仿宋" w:cs="仿宋"/>
          <w:sz w:val="30"/>
          <w:szCs w:val="30"/>
        </w:rPr>
      </w:pPr>
      <w:r>
        <w:rPr>
          <w:rFonts w:hint="eastAsia" w:ascii="仿宋" w:hAnsi="仿宋" w:eastAsia="仿宋" w:cs="仿宋"/>
          <w:sz w:val="30"/>
          <w:szCs w:val="30"/>
        </w:rPr>
        <w:t>投标人全称（盖单位公章）：</w:t>
      </w:r>
    </w:p>
    <w:p>
      <w:pPr>
        <w:pStyle w:val="5"/>
        <w:keepNext w:val="0"/>
        <w:keepLines w:val="0"/>
        <w:pageBreakBefore w:val="0"/>
        <w:widowControl w:val="0"/>
        <w:kinsoku/>
        <w:wordWrap/>
        <w:overflowPunct/>
        <w:topLinePunct w:val="0"/>
        <w:autoSpaceDE/>
        <w:autoSpaceDN/>
        <w:bidi w:val="0"/>
        <w:adjustRightInd w:val="0"/>
        <w:snapToGrid/>
        <w:spacing w:line="700" w:lineRule="exact"/>
        <w:textAlignment w:val="baseline"/>
        <w:rPr>
          <w:rFonts w:hint="eastAsia" w:ascii="仿宋" w:hAnsi="仿宋" w:eastAsia="仿宋" w:cs="仿宋"/>
          <w:sz w:val="30"/>
          <w:szCs w:val="30"/>
        </w:rPr>
      </w:pPr>
      <w:r>
        <w:rPr>
          <w:rFonts w:hint="eastAsia" w:ascii="仿宋" w:hAnsi="仿宋" w:eastAsia="仿宋" w:cs="仿宋"/>
          <w:sz w:val="30"/>
          <w:szCs w:val="30"/>
        </w:rPr>
        <w:t>日期：   年  月  日</w:t>
      </w:r>
    </w:p>
    <w:p>
      <w:pPr>
        <w:keepNext w:val="0"/>
        <w:keepLines w:val="0"/>
        <w:pageBreakBefore w:val="0"/>
        <w:widowControl w:val="0"/>
        <w:kinsoku/>
        <w:wordWrap/>
        <w:overflowPunct/>
        <w:topLinePunct w:val="0"/>
        <w:autoSpaceDE w:val="0"/>
        <w:autoSpaceDN w:val="0"/>
        <w:bidi w:val="0"/>
        <w:adjustRightInd w:val="0"/>
        <w:snapToGrid/>
        <w:spacing w:line="700" w:lineRule="exact"/>
        <w:jc w:val="center"/>
        <w:rPr>
          <w:rFonts w:hint="eastAsia" w:ascii="仿宋" w:hAnsi="仿宋" w:eastAsia="仿宋" w:cs="仿宋"/>
          <w:b/>
          <w:bCs/>
          <w:sz w:val="24"/>
          <w:szCs w:val="24"/>
        </w:rPr>
      </w:pPr>
    </w:p>
    <w:p>
      <w:pPr>
        <w:pStyle w:val="2"/>
        <w:numPr>
          <w:numId w:val="0"/>
        </w:numPr>
        <w:rPr>
          <w:rFonts w:hint="default"/>
          <w:lang w:val="en-US" w:eastAsia="zh-CN"/>
        </w:rPr>
      </w:pPr>
    </w:p>
    <w:p>
      <w:pPr>
        <w:rPr>
          <w:rFonts w:hint="default"/>
          <w:lang w:val="en-US" w:eastAsia="zh-CN"/>
        </w:rPr>
      </w:pPr>
    </w:p>
    <w:p>
      <w:pPr>
        <w:pStyle w:val="2"/>
        <w:numPr>
          <w:numId w:val="0"/>
        </w:numPr>
        <w:tabs>
          <w:tab w:val="clear" w:pos="5682"/>
        </w:tabs>
        <w:ind w:left="4962" w:leftChars="0"/>
        <w:rPr>
          <w:rFonts w:hint="default"/>
          <w:lang w:val="en-US" w:eastAsia="zh-CN"/>
        </w:rPr>
      </w:pPr>
    </w:p>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EB14DB"/>
    <w:multiLevelType w:val="multilevel"/>
    <w:tmpl w:val="5BEB14DB"/>
    <w:lvl w:ilvl="0" w:tentative="0">
      <w:start w:val="1"/>
      <w:numFmt w:val="upperLetter"/>
      <w:pStyle w:val="2"/>
      <w:lvlText w:val="%1、"/>
      <w:lvlJc w:val="left"/>
      <w:pPr>
        <w:tabs>
          <w:tab w:val="left" w:pos="5682"/>
        </w:tabs>
        <w:ind w:left="6000" w:hanging="720"/>
      </w:pPr>
      <w:rPr>
        <w:rFonts w:hint="eastAsia"/>
      </w:rPr>
    </w:lvl>
    <w:lvl w:ilvl="1" w:tentative="0">
      <w:start w:val="1"/>
      <w:numFmt w:val="lowerLetter"/>
      <w:lvlText w:val="%2)"/>
      <w:lvlJc w:val="left"/>
      <w:pPr>
        <w:tabs>
          <w:tab w:val="left" w:pos="2250"/>
        </w:tabs>
        <w:ind w:left="2568" w:hanging="420"/>
      </w:pPr>
    </w:lvl>
    <w:lvl w:ilvl="2" w:tentative="0">
      <w:start w:val="1"/>
      <w:numFmt w:val="lowerRoman"/>
      <w:lvlText w:val="%3."/>
      <w:lvlJc w:val="right"/>
      <w:pPr>
        <w:tabs>
          <w:tab w:val="left" w:pos="2670"/>
        </w:tabs>
        <w:ind w:left="2988" w:hanging="420"/>
      </w:pPr>
    </w:lvl>
    <w:lvl w:ilvl="3" w:tentative="0">
      <w:start w:val="1"/>
      <w:numFmt w:val="decimal"/>
      <w:lvlText w:val="%4."/>
      <w:lvlJc w:val="left"/>
      <w:pPr>
        <w:tabs>
          <w:tab w:val="left" w:pos="3090"/>
        </w:tabs>
        <w:ind w:left="3408" w:hanging="420"/>
      </w:pPr>
    </w:lvl>
    <w:lvl w:ilvl="4" w:tentative="0">
      <w:start w:val="1"/>
      <w:numFmt w:val="lowerLetter"/>
      <w:lvlText w:val="%5)"/>
      <w:lvlJc w:val="left"/>
      <w:pPr>
        <w:tabs>
          <w:tab w:val="left" w:pos="3510"/>
        </w:tabs>
        <w:ind w:left="3828" w:hanging="420"/>
      </w:pPr>
    </w:lvl>
    <w:lvl w:ilvl="5" w:tentative="0">
      <w:start w:val="1"/>
      <w:numFmt w:val="lowerRoman"/>
      <w:lvlText w:val="%6."/>
      <w:lvlJc w:val="right"/>
      <w:pPr>
        <w:tabs>
          <w:tab w:val="left" w:pos="3930"/>
        </w:tabs>
        <w:ind w:left="4248" w:hanging="420"/>
      </w:pPr>
    </w:lvl>
    <w:lvl w:ilvl="6" w:tentative="0">
      <w:start w:val="1"/>
      <w:numFmt w:val="decimal"/>
      <w:lvlText w:val="%7."/>
      <w:lvlJc w:val="left"/>
      <w:pPr>
        <w:tabs>
          <w:tab w:val="left" w:pos="4350"/>
        </w:tabs>
        <w:ind w:left="4668" w:hanging="420"/>
      </w:pPr>
    </w:lvl>
    <w:lvl w:ilvl="7" w:tentative="0">
      <w:start w:val="1"/>
      <w:numFmt w:val="lowerLetter"/>
      <w:lvlText w:val="%8)"/>
      <w:lvlJc w:val="left"/>
      <w:pPr>
        <w:tabs>
          <w:tab w:val="left" w:pos="4770"/>
        </w:tabs>
        <w:ind w:left="5088" w:hanging="420"/>
      </w:pPr>
    </w:lvl>
    <w:lvl w:ilvl="8" w:tentative="0">
      <w:start w:val="1"/>
      <w:numFmt w:val="lowerRoman"/>
      <w:lvlText w:val="%9."/>
      <w:lvlJc w:val="right"/>
      <w:pPr>
        <w:tabs>
          <w:tab w:val="left" w:pos="5190"/>
        </w:tabs>
        <w:ind w:left="550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503D174B"/>
    <w:rsid w:val="503D17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Ascii" w:hAnsiTheme="minorAscii" w:eastAsiaTheme="minorEastAsia" w:cstheme="minorBidi"/>
      <w:kern w:val="2"/>
      <w:sz w:val="24"/>
      <w:szCs w:val="22"/>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2">
    <w:name w:val="heading 2"/>
    <w:basedOn w:val="1"/>
    <w:next w:val="1"/>
    <w:qFormat/>
    <w:uiPriority w:val="0"/>
    <w:pPr>
      <w:keepNext/>
      <w:numPr>
        <w:ilvl w:val="0"/>
        <w:numId w:val="1"/>
      </w:numPr>
      <w:spacing w:line="240" w:lineRule="auto"/>
      <w:outlineLvl w:val="1"/>
    </w:pPr>
    <w:rPr>
      <w:b/>
      <w:bCs/>
      <w:sz w:val="28"/>
      <w:szCs w:val="20"/>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Body Text"/>
    <w:basedOn w:val="1"/>
    <w:qFormat/>
    <w:uiPriority w:val="0"/>
    <w:pPr>
      <w:adjustRightInd w:val="0"/>
      <w:spacing w:line="315" w:lineRule="atLeast"/>
      <w:jc w:val="left"/>
      <w:textAlignment w:val="baseline"/>
    </w:pPr>
    <w:rPr>
      <w:rFonts w:ascii="仿宋_GB2312" w:eastAsia="仿宋_GB2312"/>
      <w:kern w:val="0"/>
      <w:sz w:val="2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2023-08-07T08:35:00Z</dcterms:created>
  <dc:creator>A盖世小可爱</dc:creator>
  <cp:lastModifiedBy>A盖世小可爱</cp:lastModifiedBy>
  <dcterms:modified xsi:type="dcterms:W3CDTF">2023-08-07T08:44:40Z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A3C2CFEDD46B459CACDEBC6855325ECE_11</vt:lpwstr>
  </property>
</Properties>
</file>