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浙江水利水电学院高配房预防性试验及维保服务项目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报价单及现场勘察证明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jc w:val="both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（此文件共4页）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  <w:t>一、经费预算及报价（年度预算6万，超过总额、单项价格限额均视为无效报价）：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</w:t>
      </w:r>
      <w:r>
        <w:rPr>
          <w:rFonts w:hint="eastAsia" w:ascii="楷体" w:hAnsi="楷体" w:eastAsia="楷体" w:cs="楷体"/>
          <w:b/>
          <w:bCs/>
          <w:color w:val="FF0000"/>
          <w:kern w:val="0"/>
          <w:sz w:val="24"/>
          <w:szCs w:val="24"/>
          <w:highlight w:val="none"/>
          <w:lang w:val="en-US" w:eastAsia="zh-CN" w:bidi="ar-SA"/>
        </w:rPr>
        <w:t>总报价单</w:t>
      </w:r>
      <w:r>
        <w:rPr>
          <w:rFonts w:hint="eastAsia" w:ascii="楷体" w:hAnsi="楷体" w:eastAsia="楷体" w:cs="楷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： </w:t>
      </w:r>
    </w:p>
    <w:tbl>
      <w:tblPr>
        <w:tblStyle w:val="7"/>
        <w:tblW w:w="924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3855"/>
        <w:gridCol w:w="1155"/>
        <w:gridCol w:w="1215"/>
        <w:gridCol w:w="20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维保预算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报价分类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年度预算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报价（元）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1" w:hRule="atLeast"/>
          <w:jc w:val="center"/>
        </w:trPr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预算分析：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8个配电房高低压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预防性试验；安全用具检测，并提供有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CMA认证的检测报告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；每月定期维护及专业检测等。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ind w:firstLine="480" w:firstLineChars="20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详见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附件：1、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六、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高低压预防性试验、维保服务要求明细表》。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维修预算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根据实际维修情况按报价实时结算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2万元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参照以下“2、常规维修材料、设备单价报价单”报价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合计金额（元）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6万元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投标单位名称（盖公章）：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 xml:space="preserve">法定代表人（或委托代理人）签字：    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 xml:space="preserve">单位联系人姓名：                    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联系电话：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日期：   年  月  日</w:t>
      </w: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460" w:lineRule="exact"/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2、常规</w:t>
      </w:r>
      <w:r>
        <w:rPr>
          <w:rFonts w:hint="eastAsia" w:ascii="楷体" w:hAnsi="楷体" w:eastAsia="楷体" w:cs="楷体"/>
          <w:sz w:val="24"/>
          <w:szCs w:val="24"/>
        </w:rPr>
        <w:t>维修材料、设备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单价</w:t>
      </w:r>
      <w:r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  <w:t>报价</w:t>
      </w:r>
      <w:r>
        <w:rPr>
          <w:rFonts w:hint="eastAsia" w:ascii="楷体" w:hAnsi="楷体" w:eastAsia="楷体" w:cs="楷体"/>
          <w:color w:val="FF0000"/>
          <w:sz w:val="24"/>
          <w:szCs w:val="24"/>
          <w:highlight w:val="none"/>
          <w:lang w:val="en-US" w:eastAsia="zh-CN"/>
        </w:rPr>
        <w:t>单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：</w:t>
      </w:r>
    </w:p>
    <w:tbl>
      <w:tblPr>
        <w:tblStyle w:val="7"/>
        <w:tblW w:w="9195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05"/>
        <w:gridCol w:w="900"/>
        <w:gridCol w:w="1305"/>
        <w:gridCol w:w="915"/>
        <w:gridCol w:w="885"/>
        <w:gridCol w:w="780"/>
        <w:gridCol w:w="885"/>
        <w:gridCol w:w="885"/>
      </w:tblGrid>
      <w:tr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材料、设备名称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品牌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规格型号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性能及指标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1"/>
                <w:color w:val="auto"/>
                <w:lang w:val="en-US" w:eastAsia="zh-CN" w:bidi="ar"/>
              </w:rPr>
              <w:t>单价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lang w:val="en-US" w:eastAsia="zh-CN" w:bidi="ar"/>
              </w:rPr>
            </w:pPr>
            <w:r>
              <w:rPr>
                <w:rStyle w:val="11"/>
                <w:rFonts w:hint="eastAsia"/>
                <w:color w:val="auto"/>
                <w:lang w:val="en-US" w:eastAsia="zh-CN" w:bidi="ar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电流互感器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1000/5 BH0.66(80型)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指示灯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AD16-22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指示灯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AC220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10kV接地线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交流接触器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CJX8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低压智能表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PMC916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抽屉柜操作手柄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电容柜操作手柄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CIWZ主电路接插件（动）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变压器温控器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电流表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99T1-400/5A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电流表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6L2-A300/5A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电流表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3KV/5A、6L2-A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电流表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200/5A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电熔器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BSMJ0.4-16-3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电熔器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BCMJKYJ0.4-30-3J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熔断器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RT14  40A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失压线圈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MZ-1600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接触器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B50C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高压带电显示器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456" w:firstLineChars="200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456" w:firstLineChars="200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456" w:firstLineChars="200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注：1、所填报的材料单价、设备单价，仅指材料、设备出厂含税市场价+采保费（含税）。维修更换材料、安装设备所需的人工费、机具使用费等等已包含在初次报价表投标总价中。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375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2、高低压预防性试验和维保期间，维修电力设施所需的材料费、设备费按实际产生的数量，另行结算。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120" w:afterLines="50" w:line="460" w:lineRule="exact"/>
        <w:ind w:firstLine="456" w:firstLineChars="200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3、维修更换的材料费、设备费结算说明：维保服务期间，供应商实际所更换的材料费、设备费，采购人原则上根据供应商按维修材料、设备单价报价一览表填报的单价以及双方签证的联系单予以结算。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375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4、本表格材料，采购人未列全面的，供应商须根据经验及采购人变电所、配电房、强电井等实际情况，补充全面。若供应商未能列出、未能列全面，但实际维修产生了新的材料，则材料单价，将由采购人单方市场询价确定，供应商无条件服从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375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5、设备名称、品牌、型号规格、单价、性能及指标、单位填写完整。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456" w:firstLineChars="200"/>
        <w:rPr>
          <w:rFonts w:hint="eastAsia" w:ascii="楷体" w:hAnsi="楷体" w:eastAsia="楷体" w:cs="楷体"/>
          <w:spacing w:val="-6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6、维修材料、电气设备的品牌选择：同原电气设备品牌，或所选用品牌与原品牌相当档次，或所选用品牌档次高于原品牌</w:t>
      </w:r>
      <w:r>
        <w:rPr>
          <w:rFonts w:hint="eastAsia" w:ascii="楷体" w:hAnsi="楷体" w:eastAsia="楷体" w:cs="楷体"/>
          <w:spacing w:val="-6"/>
          <w:sz w:val="24"/>
          <w:szCs w:val="24"/>
          <w:lang w:eastAsia="zh-CN"/>
        </w:rPr>
        <w:t>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numPr>
          <w:ilvl w:val="0"/>
          <w:numId w:val="1"/>
        </w:numPr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现场勘察证明：</w:t>
      </w: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p>
      <w:pPr>
        <w:pStyle w:val="4"/>
        <w:ind w:left="84" w:right="84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现 场 勘 察 证 明</w:t>
      </w:r>
    </w:p>
    <w:p>
      <w:pPr>
        <w:pStyle w:val="4"/>
        <w:ind w:left="84" w:right="84"/>
        <w:rPr>
          <w:rFonts w:ascii="仿宋" w:hAnsi="仿宋" w:eastAsia="仿宋" w:cs="仿宋"/>
          <w:sz w:val="28"/>
          <w:szCs w:val="28"/>
        </w:rPr>
      </w:pPr>
    </w:p>
    <w:p>
      <w:pPr>
        <w:pStyle w:val="4"/>
        <w:ind w:left="84" w:right="84"/>
        <w:rPr>
          <w:rFonts w:ascii="仿宋" w:hAnsi="仿宋" w:eastAsia="仿宋" w:cs="仿宋"/>
          <w:sz w:val="28"/>
          <w:szCs w:val="28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jc w:val="both"/>
        <w:rPr>
          <w:rFonts w:hint="default" w:ascii="仿宋" w:hAnsi="仿宋" w:eastAsia="仿宋" w:cs="仿宋"/>
          <w:kern w:val="0"/>
          <w:sz w:val="24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  <w:t>项目名称：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 w:bidi="ar-SA"/>
        </w:rPr>
        <w:t>浙江水利水电学院配电房预防性试验及维保服务项目</w:t>
      </w:r>
    </w:p>
    <w:p>
      <w:pPr>
        <w:pStyle w:val="9"/>
        <w:spacing w:line="560" w:lineRule="exact"/>
        <w:rPr>
          <w:rFonts w:hint="default" w:ascii="仿宋" w:hAnsi="仿宋" w:eastAsia="仿宋" w:cs="仿宋"/>
          <w:kern w:val="0"/>
          <w:sz w:val="24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  <w:t>项目编号：SYHQX202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  <w:t>0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 w:bidi="ar-SA"/>
        </w:rPr>
        <w:t>5</w:t>
      </w:r>
      <w:r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  <w:t>0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 w:bidi="ar-SA"/>
        </w:rPr>
        <w:t>4-02</w:t>
      </w:r>
      <w:bookmarkStart w:id="0" w:name="_GoBack"/>
      <w:bookmarkEnd w:id="0"/>
    </w:p>
    <w:p>
      <w:pPr>
        <w:pStyle w:val="9"/>
        <w:spacing w:line="56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</w:pP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应采购人要求，我方（公司名称：                     ）于    年  月  日完成现场勘察，并根据采购人要求自行设计技术方案，否则将视为无效投标，特此证明，此证明文件作为投标文件的有效组成部分。</w:t>
      </w: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采购人：</w:t>
      </w:r>
      <w:r>
        <w:rPr>
          <w:rFonts w:hint="eastAsia" w:ascii="仿宋" w:hAnsi="仿宋" w:eastAsia="仿宋" w:cs="仿宋"/>
          <w:lang w:val="en-US" w:eastAsia="zh-CN"/>
        </w:rPr>
        <w:t>浙江水利水电学院</w:t>
      </w:r>
      <w:r>
        <w:rPr>
          <w:rFonts w:ascii="仿宋" w:hAnsi="仿宋" w:eastAsia="仿宋" w:cs="仿宋"/>
        </w:rPr>
        <w:t>（</w:t>
      </w:r>
      <w:r>
        <w:rPr>
          <w:rFonts w:hint="eastAsia" w:ascii="仿宋" w:hAnsi="仿宋" w:eastAsia="仿宋" w:cs="仿宋"/>
          <w:lang w:val="en-US" w:eastAsia="zh-CN"/>
        </w:rPr>
        <w:t>签字</w:t>
      </w:r>
      <w:r>
        <w:rPr>
          <w:rFonts w:ascii="仿宋" w:hAnsi="仿宋" w:eastAsia="仿宋" w:cs="仿宋"/>
        </w:rPr>
        <w:t>）</w:t>
      </w: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投标人名称：（盖章）</w:t>
      </w: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勘察</w:t>
      </w:r>
      <w:r>
        <w:rPr>
          <w:rFonts w:hint="eastAsia" w:ascii="仿宋" w:hAnsi="仿宋" w:eastAsia="仿宋" w:cs="仿宋"/>
          <w:lang w:val="en-US" w:eastAsia="zh-CN"/>
        </w:rPr>
        <w:t>日期</w:t>
      </w:r>
      <w:r>
        <w:rPr>
          <w:rFonts w:ascii="仿宋" w:hAnsi="仿宋" w:eastAsia="仿宋" w:cs="仿宋"/>
        </w:rPr>
        <w:t>：      年       月      日</w:t>
      </w: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                 </w:t>
      </w: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AF514"/>
    <w:multiLevelType w:val="singleLevel"/>
    <w:tmpl w:val="063AF5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MDdjOWYzNTU4YzYxOGRmYjFmN2VhOTZjZDA0NzAifQ=="/>
  </w:docVars>
  <w:rsids>
    <w:rsidRoot w:val="00000000"/>
    <w:rsid w:val="05E03D0C"/>
    <w:rsid w:val="08B54C6F"/>
    <w:rsid w:val="0FC841F6"/>
    <w:rsid w:val="0FC91CB4"/>
    <w:rsid w:val="11763776"/>
    <w:rsid w:val="11AC0F46"/>
    <w:rsid w:val="178C5AA1"/>
    <w:rsid w:val="1BC872C4"/>
    <w:rsid w:val="23567338"/>
    <w:rsid w:val="2A3114AB"/>
    <w:rsid w:val="2B035C23"/>
    <w:rsid w:val="2B9E594C"/>
    <w:rsid w:val="2C5E1F16"/>
    <w:rsid w:val="2DA60AE7"/>
    <w:rsid w:val="2DB743C7"/>
    <w:rsid w:val="32DA370D"/>
    <w:rsid w:val="334B460B"/>
    <w:rsid w:val="34C23859"/>
    <w:rsid w:val="3546508A"/>
    <w:rsid w:val="37AE415D"/>
    <w:rsid w:val="3F1E4982"/>
    <w:rsid w:val="40751AEA"/>
    <w:rsid w:val="456D79EA"/>
    <w:rsid w:val="4BAB1C93"/>
    <w:rsid w:val="4E61488B"/>
    <w:rsid w:val="50371D47"/>
    <w:rsid w:val="507C166B"/>
    <w:rsid w:val="51071719"/>
    <w:rsid w:val="52A13FF2"/>
    <w:rsid w:val="54F43B25"/>
    <w:rsid w:val="55191B30"/>
    <w:rsid w:val="565D002E"/>
    <w:rsid w:val="5D8A6FE6"/>
    <w:rsid w:val="641C6E32"/>
    <w:rsid w:val="65C90734"/>
    <w:rsid w:val="65E80299"/>
    <w:rsid w:val="661E1587"/>
    <w:rsid w:val="67ED5A01"/>
    <w:rsid w:val="6D5C2995"/>
    <w:rsid w:val="6EB80101"/>
    <w:rsid w:val="70510EA3"/>
    <w:rsid w:val="79DD6C0C"/>
    <w:rsid w:val="7D07647A"/>
    <w:rsid w:val="7D1164E3"/>
    <w:rsid w:val="7E2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adjustRightInd w:val="0"/>
      <w:spacing w:after="60" w:line="360" w:lineRule="atLeast"/>
      <w:ind w:left="72" w:leftChars="30" w:right="72" w:rightChars="30"/>
      <w:jc w:val="center"/>
      <w:textAlignment w:val="baseline"/>
    </w:pPr>
    <w:rPr>
      <w:kern w:val="0"/>
      <w:sz w:val="21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[Normal]"/>
    <w:unhideWhenUsed/>
    <w:qFormat/>
    <w:uiPriority w:val="0"/>
    <w:rPr>
      <w:rFonts w:hint="eastAsia" w:ascii="宋体" w:hAnsi="宋体" w:eastAsia="宋体" w:cs="Times New Roman"/>
      <w:sz w:val="24"/>
      <w:lang w:val="zh-CN" w:eastAsia="zh-CN" w:bidi="ar-SA"/>
    </w:rPr>
  </w:style>
  <w:style w:type="character" w:customStyle="1" w:styleId="10">
    <w:name w:val="font11"/>
    <w:basedOn w:val="8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8"/>
    <w:uiPriority w:val="0"/>
    <w:rPr>
      <w:rFonts w:hint="eastAsia" w:ascii="楷体" w:hAnsi="楷体" w:eastAsia="楷体" w:cs="楷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1081</Words>
  <Characters>1223</Characters>
  <Lines>0</Lines>
  <Paragraphs>0</Paragraphs>
  <TotalTime>2</TotalTime>
  <ScaleCrop>false</ScaleCrop>
  <LinksUpToDate>false</LinksUpToDate>
  <CharactersWithSpaces>1332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吴辉</dc:creator>
  <cp:lastModifiedBy>Administrator</cp:lastModifiedBy>
  <dcterms:modified xsi:type="dcterms:W3CDTF">2023-06-02T08:11:41Z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E8D886653ED340D8B879A2CD97FEA530_13</vt:lpwstr>
  </property>
</Properties>
</file>