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ED85">
      <w:pPr>
        <w:widowControl/>
        <w:spacing w:line="300" w:lineRule="auto"/>
        <w:ind w:left="283" w:leftChars="135" w:right="422" w:rightChars="201"/>
        <w:jc w:val="center"/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>浙江水利水电学院钱塘校区食堂蒸汽发生器维保项目技术指标</w:t>
      </w:r>
    </w:p>
    <w:p w14:paraId="40A4D8CC">
      <w:pPr>
        <w:spacing w:line="360" w:lineRule="auto"/>
        <w:ind w:firstLine="480"/>
        <w:rPr>
          <w:rFonts w:ascii="宋体" w:hAnsi="宋体" w:cs="宋体"/>
          <w:spacing w:val="-6"/>
          <w:sz w:val="24"/>
          <w:szCs w:val="24"/>
          <w:highlight w:val="none"/>
        </w:rPr>
      </w:pPr>
      <w:r>
        <w:rPr>
          <w:rFonts w:ascii="宋体" w:hAnsi="宋体" w:cs="宋体"/>
          <w:spacing w:val="-6"/>
          <w:sz w:val="24"/>
          <w:szCs w:val="24"/>
          <w:highlight w:val="none"/>
        </w:rPr>
        <w:t xml:space="preserve">   </w:t>
      </w:r>
    </w:p>
    <w:p w14:paraId="1EAEB4F4">
      <w:pPr>
        <w:widowControl/>
        <w:tabs>
          <w:tab w:val="left" w:pos="9356"/>
        </w:tabs>
        <w:spacing w:line="360" w:lineRule="auto"/>
        <w:ind w:right="422" w:rightChars="201" w:firstLine="48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一、项目概况</w:t>
      </w:r>
    </w:p>
    <w:p w14:paraId="324A9605">
      <w:pPr>
        <w:widowControl/>
        <w:tabs>
          <w:tab w:val="left" w:pos="9356"/>
        </w:tabs>
        <w:spacing w:line="360" w:lineRule="auto"/>
        <w:ind w:right="422" w:rightChars="201" w:firstLine="48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1、项目名称：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浙江水利水电学院钱塘校区食堂蒸汽发生器维保项目</w:t>
      </w:r>
    </w:p>
    <w:p w14:paraId="1A113352">
      <w:pPr>
        <w:widowControl/>
        <w:tabs>
          <w:tab w:val="left" w:pos="9356"/>
        </w:tabs>
        <w:spacing w:line="360" w:lineRule="auto"/>
        <w:ind w:right="422" w:rightChars="201" w:firstLine="48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维保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地点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：具体地点为由校方指定（杭州市钱塘区学林街583号浙江水利水电学院指定地点）</w:t>
      </w:r>
    </w:p>
    <w:p w14:paraId="4859E8BA">
      <w:pPr>
        <w:widowControl/>
        <w:tabs>
          <w:tab w:val="left" w:pos="9356"/>
        </w:tabs>
        <w:spacing w:line="360" w:lineRule="auto"/>
        <w:ind w:right="422" w:rightChars="201" w:firstLine="48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bookmarkStart w:id="0" w:name="_Toc91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二、服务期限</w:t>
      </w:r>
      <w:bookmarkEnd w:id="0"/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：一年</w:t>
      </w:r>
    </w:p>
    <w:p w14:paraId="5B7E1CFC">
      <w:pPr>
        <w:widowControl/>
        <w:tabs>
          <w:tab w:val="left" w:pos="9356"/>
        </w:tabs>
        <w:spacing w:line="360" w:lineRule="auto"/>
        <w:ind w:right="422" w:rightChars="201" w:firstLine="480" w:firstLineChars="200"/>
        <w:jc w:val="left"/>
        <w:rPr>
          <w:rFonts w:hint="default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三、采购预算:3万元</w:t>
      </w:r>
    </w:p>
    <w:p w14:paraId="0EA9B4E3">
      <w:pPr>
        <w:widowControl/>
        <w:tabs>
          <w:tab w:val="left" w:pos="9356"/>
        </w:tabs>
        <w:spacing w:line="360" w:lineRule="auto"/>
        <w:ind w:right="422" w:rightChars="201" w:firstLine="48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四、产品及服务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ab/>
      </w:r>
    </w:p>
    <w:tbl>
      <w:tblPr>
        <w:tblStyle w:val="11"/>
        <w:tblpPr w:leftFromText="180" w:rightFromText="180" w:vertAnchor="text" w:horzAnchor="page" w:tblpXSpec="center" w:tblpY="457"/>
        <w:tblOverlap w:val="never"/>
        <w:tblW w:w="9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242"/>
        <w:gridCol w:w="1020"/>
        <w:gridCol w:w="1293"/>
        <w:gridCol w:w="1047"/>
        <w:gridCol w:w="1230"/>
        <w:gridCol w:w="1650"/>
        <w:gridCol w:w="1620"/>
      </w:tblGrid>
      <w:tr w14:paraId="5B76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40F0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/模块）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年维保费</w:t>
            </w:r>
          </w:p>
          <w:p w14:paraId="058D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4084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东泽苑一楼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热水机组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5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D4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5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蒸汽机组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9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东泽苑二楼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热水机组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7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B1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合计金额</w:t>
            </w:r>
          </w:p>
        </w:tc>
        <w:tc>
          <w:tcPr>
            <w:tcW w:w="7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20BC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963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CF47"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此预算含税、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人工、运输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、安装、维修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等所有费用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/>
                <w:lang w:val="en-US" w:eastAsia="zh-CN"/>
              </w:rPr>
              <w:t>日常维修所产生的交换器、燃烧器、分段阀、主控控制器、主控面板、水位探头(水位传感器)、温控探头、稳压阀、数码风机、点火控制器、变压器、风压开关、软水树脂、继电器、高温传感器、分体式水泵、增压泵、50L定压罐、100L定压罐、水电磁阀、高温电磁阀、水流开关、压力开关、燃气减压阀、安全阀、控制按钮、不锈钢波纹管（6*130）、不锈钢波纹管（6*300）、铜截止阀、压力控制器、上门服务等费用全部由服务方负责。</w:t>
            </w:r>
          </w:p>
        </w:tc>
      </w:tr>
    </w:tbl>
    <w:p w14:paraId="149C60A5">
      <w:pPr>
        <w:pStyle w:val="2"/>
        <w:jc w:val="center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报价单</w:t>
      </w:r>
    </w:p>
    <w:p w14:paraId="79CF8E5D">
      <w:pPr>
        <w:pStyle w:val="2"/>
        <w:rPr>
          <w:rFonts w:ascii="宋体" w:hAnsi="宋体" w:cs="宋体"/>
          <w:color w:val="000000"/>
          <w:sz w:val="24"/>
          <w:szCs w:val="24"/>
          <w:highlight w:val="none"/>
        </w:rPr>
      </w:pPr>
    </w:p>
    <w:p w14:paraId="6836F0D9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Cs w:val="24"/>
          <w:highlight w:val="none"/>
          <w:lang w:val="en-US" w:eastAsia="zh-CN"/>
        </w:rPr>
        <w:t>五、投标人基本资格要求</w:t>
      </w:r>
    </w:p>
    <w:p w14:paraId="6076E6C4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Cs w:val="24"/>
          <w:highlight w:val="none"/>
          <w:lang w:val="en-US" w:eastAsia="zh-CN"/>
        </w:rPr>
        <w:t>符合《中华人民共和国政府采购法》第二十二条规定。</w:t>
      </w:r>
    </w:p>
    <w:p w14:paraId="00EAB9CF">
      <w:pPr>
        <w:tabs>
          <w:tab w:val="left" w:pos="9356"/>
        </w:tabs>
        <w:spacing w:line="360" w:lineRule="auto"/>
        <w:ind w:right="422" w:rightChars="201"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1、具有独立承担民事责任的能力；报名商家与投标商家、合同主体、结算主体、履约主体必须一致。</w:t>
      </w:r>
    </w:p>
    <w:p w14:paraId="0E99E77D">
      <w:pPr>
        <w:tabs>
          <w:tab w:val="left" w:pos="9356"/>
        </w:tabs>
        <w:spacing w:line="360" w:lineRule="auto"/>
        <w:ind w:right="422" w:rightChars="201"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2、具有健全的财务会计制度，具有依法缴纳税收和社保的良好记录。</w:t>
      </w:r>
    </w:p>
    <w:p w14:paraId="071724DD">
      <w:pPr>
        <w:tabs>
          <w:tab w:val="left" w:pos="9356"/>
        </w:tabs>
        <w:spacing w:line="360" w:lineRule="auto"/>
        <w:ind w:right="422" w:rightChars="201"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3、参加本次询价采购活动前三年内，在经营活动中没有重大违法违规记录，并做出承诺。</w:t>
      </w:r>
    </w:p>
    <w:p w14:paraId="4A7A721F">
      <w:pPr>
        <w:tabs>
          <w:tab w:val="left" w:pos="9356"/>
        </w:tabs>
        <w:spacing w:line="360" w:lineRule="auto"/>
        <w:ind w:right="422" w:rightChars="201"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4、具有履行合同所必需的设备和专业能力。</w:t>
      </w:r>
    </w:p>
    <w:p w14:paraId="59FEE1EE">
      <w:pPr>
        <w:tabs>
          <w:tab w:val="left" w:pos="9356"/>
        </w:tabs>
        <w:spacing w:line="360" w:lineRule="auto"/>
        <w:ind w:right="422" w:rightChars="201"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5、符合浙江水利水电学院钱塘校区食堂蒸汽发生器维保项目技术要求。</w:t>
      </w:r>
    </w:p>
    <w:p w14:paraId="27DE30B3">
      <w:pPr>
        <w:tabs>
          <w:tab w:val="left" w:pos="9356"/>
        </w:tabs>
        <w:spacing w:line="360" w:lineRule="auto"/>
        <w:ind w:right="422" w:rightChars="201"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6、本项目拒绝联合体投标或转包。</w:t>
      </w:r>
    </w:p>
    <w:p w14:paraId="34D25EB4">
      <w:pPr>
        <w:tabs>
          <w:tab w:val="left" w:pos="9356"/>
        </w:tabs>
        <w:spacing w:line="360" w:lineRule="auto"/>
        <w:ind w:right="422" w:rightChars="201" w:firstLine="480" w:firstLineChars="200"/>
        <w:rPr>
          <w:rFonts w:hint="default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7、具有维保所具备的各项有效证件。</w:t>
      </w:r>
    </w:p>
    <w:p w14:paraId="0847E476">
      <w:pPr>
        <w:tabs>
          <w:tab w:val="left" w:pos="9356"/>
        </w:tabs>
        <w:spacing w:line="360" w:lineRule="auto"/>
        <w:ind w:right="422" w:rightChars="201"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8、符合法律法规规定的其他条件。</w:t>
      </w:r>
    </w:p>
    <w:p w14:paraId="4CAC6067">
      <w:pPr>
        <w:tabs>
          <w:tab w:val="left" w:pos="9356"/>
        </w:tabs>
        <w:spacing w:line="360" w:lineRule="auto"/>
        <w:ind w:right="422" w:rightChars="201" w:firstLine="480" w:firstLineChars="200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9、需现场勘察。</w:t>
      </w:r>
    </w:p>
    <w:p w14:paraId="769CD8D4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Cs w:val="24"/>
          <w:highlight w:val="none"/>
          <w:lang w:val="en-US" w:eastAsia="zh-CN"/>
        </w:rPr>
        <w:t>六、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Cs w:val="24"/>
          <w:highlight w:val="none"/>
        </w:rPr>
        <w:t>服务内容</w:t>
      </w:r>
    </w:p>
    <w:p w14:paraId="7111F2A5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</w:pPr>
      <w:r>
        <w:rPr>
          <w:rFonts w:hint="eastAsia" w:ascii="Calibri" w:hAnsi="Calibri"/>
          <w:kern w:val="2"/>
          <w:szCs w:val="24"/>
          <w:highlight w:val="none"/>
          <w:lang w:eastAsia="zh-CN"/>
        </w:rPr>
        <w:t>1、</w:t>
      </w:r>
      <w:r>
        <w:rPr>
          <w:rFonts w:hint="eastAsia" w:ascii="Calibri" w:hAnsi="Calibri"/>
          <w:kern w:val="2"/>
          <w:szCs w:val="24"/>
          <w:highlight w:val="none"/>
          <w:lang w:val="en-US" w:eastAsia="zh-CN"/>
        </w:rPr>
        <w:t>服务方</w:t>
      </w:r>
      <w:r>
        <w:rPr>
          <w:rFonts w:hint="eastAsia" w:ascii="Calibri" w:hAnsi="Calibri"/>
          <w:kern w:val="2"/>
          <w:szCs w:val="24"/>
          <w:highlight w:val="none"/>
          <w:lang w:eastAsia="zh-CN"/>
        </w:rPr>
        <w:t>每个学期对钱塘</w:t>
      </w: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校区</w:t>
      </w:r>
      <w:r>
        <w:rPr>
          <w:rFonts w:hint="eastAsia" w:ascii="Calibri" w:hAnsi="Calibri"/>
          <w:color w:val="auto"/>
          <w:kern w:val="2"/>
          <w:szCs w:val="24"/>
          <w:highlight w:val="none"/>
          <w:lang w:val="en-US" w:eastAsia="zh-CN"/>
        </w:rPr>
        <w:t>食堂蒸汽发生器相关设备</w:t>
      </w: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进行定期检查服务，通过定期检查及时发现和处理设备存在的故障隐患，做好预防性检查，确保设备的正常运行。</w:t>
      </w:r>
    </w:p>
    <w:p w14:paraId="0C421D1E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</w:pP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2、定期清洗维修保养服务：每个学期进行</w:t>
      </w:r>
      <w:r>
        <w:rPr>
          <w:rFonts w:hint="eastAsia" w:ascii="Calibri" w:hAnsi="Calibri"/>
          <w:color w:val="auto"/>
          <w:kern w:val="2"/>
          <w:szCs w:val="24"/>
          <w:highlight w:val="none"/>
          <w:lang w:val="en-US" w:eastAsia="zh-CN"/>
        </w:rPr>
        <w:t>2</w:t>
      </w: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次设备全面的清洗和维护保养；确保所有设备每个模块每个学期全面清洗、系统保养2次；服务期内（1年）每模块</w:t>
      </w:r>
      <w:r>
        <w:rPr>
          <w:rFonts w:hint="eastAsia" w:ascii="Calibri" w:hAnsi="Calibri"/>
          <w:color w:val="auto"/>
          <w:kern w:val="2"/>
          <w:szCs w:val="24"/>
          <w:highlight w:val="none"/>
          <w:lang w:val="en-US" w:eastAsia="zh-CN"/>
        </w:rPr>
        <w:t>4</w:t>
      </w: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次清洗保养及更换配件。</w:t>
      </w:r>
    </w:p>
    <w:p w14:paraId="5D27B51A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</w:pP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3、服务期内所产生的所有零配件、上门服务费、工时费等</w:t>
      </w:r>
      <w:r>
        <w:rPr>
          <w:rFonts w:hint="eastAsia" w:ascii="Calibri" w:hAnsi="Calibri"/>
          <w:color w:val="auto"/>
          <w:kern w:val="2"/>
          <w:szCs w:val="24"/>
          <w:highlight w:val="none"/>
          <w:lang w:val="en-US" w:eastAsia="zh-CN"/>
        </w:rPr>
        <w:t>均</w:t>
      </w: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由服务方负责。</w:t>
      </w:r>
    </w:p>
    <w:p w14:paraId="6BCF0FFD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</w:pP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4、服务时效：若有设备故障问题，在校方报修后</w:t>
      </w:r>
      <w:r>
        <w:rPr>
          <w:rFonts w:hint="eastAsia" w:ascii="Calibri" w:hAnsi="Calibri"/>
          <w:color w:val="auto"/>
          <w:kern w:val="2"/>
          <w:szCs w:val="24"/>
          <w:highlight w:val="none"/>
          <w:lang w:val="en-US" w:eastAsia="zh-CN"/>
        </w:rPr>
        <w:t>1</w:t>
      </w: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小时内服务方需响应，</w:t>
      </w:r>
      <w:r>
        <w:rPr>
          <w:rFonts w:hint="eastAsia" w:ascii="Calibri" w:hAnsi="Calibri"/>
          <w:color w:val="auto"/>
          <w:kern w:val="2"/>
          <w:szCs w:val="24"/>
          <w:highlight w:val="none"/>
          <w:lang w:val="en-US" w:eastAsia="zh-CN"/>
        </w:rPr>
        <w:t>24</w:t>
      </w:r>
      <w:r>
        <w:rPr>
          <w:rFonts w:hint="eastAsia" w:ascii="Calibri" w:hAnsi="Calibri"/>
          <w:color w:val="auto"/>
          <w:kern w:val="2"/>
          <w:szCs w:val="24"/>
          <w:highlight w:val="none"/>
          <w:lang w:eastAsia="zh-CN"/>
        </w:rPr>
        <w:t>小时内排除故障；若有紧急报修，2小时内服务方技术人员需赶到现场。</w:t>
      </w:r>
    </w:p>
    <w:p w14:paraId="036C6564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ascii="宋体" w:cs="宋体"/>
          <w:b w:val="0"/>
          <w:bCs w:val="0"/>
          <w:color w:val="000000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cs="宋体"/>
          <w:b w:val="0"/>
          <w:bCs w:val="0"/>
          <w:color w:val="000000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zCs w:val="24"/>
          <w:highlight w:val="none"/>
        </w:rPr>
        <w:t>服务方责任</w:t>
      </w:r>
    </w:p>
    <w:p w14:paraId="2F8F8D69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ascii="Calibri" w:hAnsi="Calibri"/>
          <w:kern w:val="2"/>
          <w:szCs w:val="24"/>
          <w:highlight w:val="none"/>
        </w:rPr>
      </w:pPr>
      <w:r>
        <w:rPr>
          <w:rFonts w:ascii="Calibri" w:hAnsi="Calibri"/>
          <w:kern w:val="2"/>
          <w:szCs w:val="24"/>
          <w:highlight w:val="none"/>
        </w:rPr>
        <w:t>1</w:t>
      </w:r>
      <w:r>
        <w:rPr>
          <w:rFonts w:hint="eastAsia" w:ascii="Calibri" w:hAnsi="Calibri"/>
          <w:kern w:val="2"/>
          <w:szCs w:val="24"/>
          <w:highlight w:val="none"/>
        </w:rPr>
        <w:t>、除校方人为</w:t>
      </w:r>
      <w:r>
        <w:rPr>
          <w:rFonts w:hint="eastAsia" w:ascii="Calibri" w:hAnsi="Calibri"/>
          <w:kern w:val="2"/>
          <w:szCs w:val="24"/>
          <w:highlight w:val="none"/>
          <w:lang w:eastAsia="zh-CN"/>
        </w:rPr>
        <w:t>损坏</w:t>
      </w:r>
      <w:r>
        <w:rPr>
          <w:rFonts w:hint="eastAsia" w:ascii="Calibri" w:hAnsi="Calibri"/>
          <w:kern w:val="2"/>
          <w:szCs w:val="24"/>
          <w:highlight w:val="none"/>
        </w:rPr>
        <w:t>、自然灾害及其他不可抗力导致设备的损坏外，服务方应在维保期内保证系统设备处于良好使用状态。</w:t>
      </w:r>
    </w:p>
    <w:p w14:paraId="3B19511F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</w:rPr>
      </w:pPr>
      <w:r>
        <w:rPr>
          <w:kern w:val="2"/>
          <w:highlight w:val="none"/>
        </w:rPr>
        <w:t>2</w:t>
      </w:r>
      <w:r>
        <w:rPr>
          <w:rFonts w:hint="eastAsia"/>
          <w:kern w:val="2"/>
          <w:highlight w:val="none"/>
        </w:rPr>
        <w:t>、服务方应向校方提供经过</w:t>
      </w:r>
      <w:r>
        <w:rPr>
          <w:rFonts w:hint="eastAsia"/>
          <w:kern w:val="2"/>
          <w:highlight w:val="none"/>
          <w:lang w:eastAsia="zh-CN"/>
        </w:rPr>
        <w:t>校</w:t>
      </w:r>
      <w:r>
        <w:rPr>
          <w:rFonts w:hint="eastAsia"/>
          <w:kern w:val="2"/>
          <w:highlight w:val="none"/>
        </w:rPr>
        <w:t>方指定人员签字确认的书面</w:t>
      </w:r>
      <w:r>
        <w:rPr>
          <w:rFonts w:hint="eastAsia"/>
          <w:kern w:val="2"/>
          <w:highlight w:val="none"/>
          <w:lang w:eastAsia="zh-CN"/>
        </w:rPr>
        <w:t>清洗</w:t>
      </w:r>
      <w:r>
        <w:rPr>
          <w:rFonts w:hint="eastAsia"/>
          <w:kern w:val="2"/>
          <w:highlight w:val="none"/>
          <w:lang w:val="en-US" w:eastAsia="zh-CN"/>
        </w:rPr>
        <w:t>维</w:t>
      </w:r>
      <w:r>
        <w:rPr>
          <w:rFonts w:hint="eastAsia"/>
          <w:kern w:val="2"/>
          <w:highlight w:val="none"/>
        </w:rPr>
        <w:t>保</w:t>
      </w:r>
      <w:r>
        <w:rPr>
          <w:rFonts w:hint="eastAsia"/>
          <w:kern w:val="2"/>
          <w:highlight w:val="none"/>
          <w:lang w:eastAsia="zh-CN"/>
        </w:rPr>
        <w:t>等</w:t>
      </w:r>
      <w:r>
        <w:rPr>
          <w:rFonts w:hint="eastAsia"/>
          <w:kern w:val="2"/>
          <w:highlight w:val="none"/>
        </w:rPr>
        <w:t>单据，</w:t>
      </w:r>
      <w:r>
        <w:rPr>
          <w:rFonts w:hint="eastAsia"/>
          <w:kern w:val="2"/>
          <w:highlight w:val="none"/>
          <w:lang w:eastAsia="zh-CN"/>
        </w:rPr>
        <w:t>作为</w:t>
      </w:r>
      <w:r>
        <w:rPr>
          <w:rFonts w:hint="eastAsia"/>
          <w:kern w:val="2"/>
          <w:highlight w:val="none"/>
        </w:rPr>
        <w:t>服务方已经履行了</w:t>
      </w:r>
      <w:r>
        <w:rPr>
          <w:rFonts w:hint="eastAsia"/>
          <w:kern w:val="2"/>
          <w:highlight w:val="none"/>
          <w:lang w:eastAsia="zh-CN"/>
        </w:rPr>
        <w:t>清洗</w:t>
      </w:r>
      <w:r>
        <w:rPr>
          <w:rFonts w:hint="eastAsia"/>
          <w:kern w:val="2"/>
          <w:highlight w:val="none"/>
        </w:rPr>
        <w:t>维保等义务。</w:t>
      </w:r>
    </w:p>
    <w:p w14:paraId="5F4FA1FC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kern w:val="2"/>
          <w:highlight w:val="none"/>
          <w:lang w:val="en-US" w:eastAsia="zh-CN"/>
        </w:rPr>
      </w:pPr>
      <w:r>
        <w:rPr>
          <w:rFonts w:hint="eastAsia"/>
          <w:kern w:val="2"/>
          <w:highlight w:val="none"/>
          <w:lang w:val="en-US" w:eastAsia="zh-CN"/>
        </w:rPr>
        <w:t>3、在规定服务时效内，服务方迟到超过1小时，校方有权对服务方处以1000元罚款，超过2小时，校方有权对服务方处以2000元罚款。</w:t>
      </w:r>
    </w:p>
    <w:p w14:paraId="1D6D56AB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eastAsia"/>
          <w:b w:val="0"/>
          <w:bCs w:val="0"/>
          <w:kern w:val="2"/>
          <w:highlight w:val="none"/>
          <w:lang w:val="en-US" w:eastAsia="zh-CN"/>
        </w:rPr>
      </w:pPr>
      <w:r>
        <w:rPr>
          <w:rFonts w:hint="eastAsia"/>
          <w:b w:val="0"/>
          <w:bCs w:val="0"/>
          <w:kern w:val="2"/>
          <w:highlight w:val="none"/>
          <w:lang w:val="en-US" w:eastAsia="zh-CN"/>
        </w:rPr>
        <w:t>八、其他事项</w:t>
      </w:r>
    </w:p>
    <w:p w14:paraId="1E7079D5">
      <w:pPr>
        <w:pStyle w:val="10"/>
        <w:widowControl/>
        <w:wordWrap w:val="0"/>
        <w:spacing w:beforeAutospacing="0" w:afterAutospacing="0" w:line="360" w:lineRule="auto"/>
        <w:ind w:firstLine="480" w:firstLineChars="200"/>
        <w:rPr>
          <w:rFonts w:hint="default"/>
          <w:kern w:val="2"/>
          <w:highlight w:val="none"/>
          <w:lang w:val="en-US" w:eastAsia="zh-CN"/>
        </w:rPr>
      </w:pPr>
      <w:r>
        <w:rPr>
          <w:rFonts w:hint="eastAsia"/>
          <w:kern w:val="2"/>
          <w:highlight w:val="none"/>
          <w:lang w:val="en-US" w:eastAsia="zh-CN"/>
        </w:rPr>
        <w:t>若因校方运营调整等原因，产生合同期间</w:t>
      </w:r>
      <w:r>
        <w:rPr>
          <w:rFonts w:hint="eastAsia" w:ascii="Calibri" w:hAnsi="Calibri"/>
          <w:kern w:val="2"/>
          <w:szCs w:val="24"/>
          <w:highlight w:val="none"/>
          <w:lang w:val="en-US" w:eastAsia="zh-CN"/>
        </w:rPr>
        <w:t>维保设备数量</w:t>
      </w:r>
      <w:r>
        <w:rPr>
          <w:rFonts w:hint="eastAsia"/>
          <w:kern w:val="2"/>
          <w:highlight w:val="none"/>
          <w:lang w:val="en-US" w:eastAsia="zh-CN"/>
        </w:rPr>
        <w:t>减少的，年维保费按照合同标准同步核减，即按照实际维保的设备数量进行结算。</w:t>
      </w:r>
    </w:p>
    <w:p w14:paraId="1542F0FC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262DE35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B938AFA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B75613A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D174B7C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具有履行合同所必需的设备和专业技术能力的承诺函</w:t>
      </w:r>
    </w:p>
    <w:p w14:paraId="143BA3BB">
      <w:pPr>
        <w:pStyle w:val="5"/>
        <w:rPr>
          <w:rFonts w:hint="eastAsia" w:ascii="宋体" w:hAnsi="宋体" w:eastAsia="宋体" w:cs="宋体"/>
          <w:sz w:val="21"/>
          <w:szCs w:val="21"/>
        </w:rPr>
      </w:pPr>
    </w:p>
    <w:p w14:paraId="759EF4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浙江水利水电学院</w:t>
      </w:r>
    </w:p>
    <w:p w14:paraId="776874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我方 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公司名称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承诺具有履行合同所必需的设备和专业技术能力。如有虚假，采购人可取消我方任何资格（投标/中标/签订合同），我方对此无任何异议。</w:t>
      </w:r>
    </w:p>
    <w:p w14:paraId="024B6B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 w14:paraId="4159AF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投标人全称（盖单位公章）：</w:t>
      </w:r>
    </w:p>
    <w:p w14:paraId="78008A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p w14:paraId="395379A4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现 场 勘 察 证 明</w:t>
      </w:r>
    </w:p>
    <w:p w14:paraId="7CCCBFE3">
      <w:pPr>
        <w:pStyle w:val="5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7EB10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浙江水利水电学院钱塘校区食堂蒸汽发生器维保项目</w:t>
      </w:r>
      <w:bookmarkStart w:id="1" w:name="_GoBack"/>
      <w:bookmarkEnd w:id="1"/>
    </w:p>
    <w:p w14:paraId="3B3828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1FBCC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应采购人要求，我方（公司名称：                         ）于   年  月  日完成现场勘察，并根据采购人要求自行设计技术方案，否则将视为无效投标，特此证明，此证明文件作为投标文件的有效组成部分。</w:t>
      </w:r>
    </w:p>
    <w:p w14:paraId="118905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left="840" w:leftChars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采购人：                 （签字）</w:t>
      </w:r>
    </w:p>
    <w:p w14:paraId="58CAAE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firstLine="420" w:firstLineChars="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投标人公司名称：                          （盖章）</w:t>
      </w:r>
    </w:p>
    <w:p w14:paraId="7915B9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00" w:lineRule="exact"/>
        <w:ind w:firstLine="1047" w:firstLineChars="499"/>
        <w:textAlignment w:val="baseline"/>
        <w:rPr>
          <w:rFonts w:hint="default"/>
          <w:kern w:val="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勘察时间：  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9458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8EF8D91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ZWMxNTRhMzJlYmIxYTZiZTRjZGY2OTg2MjZmZTMifQ=="/>
    <w:docVar w:name="KSO_WPS_MARK_KEY" w:val="08181f49-10e2-4d8d-b446-3dcb5facba79"/>
  </w:docVars>
  <w:rsids>
    <w:rsidRoot w:val="635028B9"/>
    <w:rsid w:val="000163E7"/>
    <w:rsid w:val="00063939"/>
    <w:rsid w:val="000E64D5"/>
    <w:rsid w:val="00140227"/>
    <w:rsid w:val="001615C7"/>
    <w:rsid w:val="001903F8"/>
    <w:rsid w:val="001B1C59"/>
    <w:rsid w:val="001D1A1F"/>
    <w:rsid w:val="001F444B"/>
    <w:rsid w:val="00215771"/>
    <w:rsid w:val="003107C3"/>
    <w:rsid w:val="00361FB8"/>
    <w:rsid w:val="00386F73"/>
    <w:rsid w:val="003F52BD"/>
    <w:rsid w:val="003F533F"/>
    <w:rsid w:val="00447F73"/>
    <w:rsid w:val="004721BE"/>
    <w:rsid w:val="004F1093"/>
    <w:rsid w:val="005117B7"/>
    <w:rsid w:val="00552F8E"/>
    <w:rsid w:val="005A5F16"/>
    <w:rsid w:val="00646516"/>
    <w:rsid w:val="0066067A"/>
    <w:rsid w:val="006A3993"/>
    <w:rsid w:val="00720261"/>
    <w:rsid w:val="0075275F"/>
    <w:rsid w:val="00760301"/>
    <w:rsid w:val="00791FBA"/>
    <w:rsid w:val="0082165C"/>
    <w:rsid w:val="00852F04"/>
    <w:rsid w:val="00870F7B"/>
    <w:rsid w:val="00885090"/>
    <w:rsid w:val="008F3A2C"/>
    <w:rsid w:val="009129C0"/>
    <w:rsid w:val="009265C6"/>
    <w:rsid w:val="0096414D"/>
    <w:rsid w:val="00992C8D"/>
    <w:rsid w:val="009E2976"/>
    <w:rsid w:val="009F32CB"/>
    <w:rsid w:val="00B01B99"/>
    <w:rsid w:val="00B2528F"/>
    <w:rsid w:val="00B8553F"/>
    <w:rsid w:val="00BA09BE"/>
    <w:rsid w:val="00D87392"/>
    <w:rsid w:val="00DC7349"/>
    <w:rsid w:val="00DD0E76"/>
    <w:rsid w:val="00DE4387"/>
    <w:rsid w:val="00DE6D2D"/>
    <w:rsid w:val="00E0298A"/>
    <w:rsid w:val="00E50AA9"/>
    <w:rsid w:val="00EF1774"/>
    <w:rsid w:val="00F06B9C"/>
    <w:rsid w:val="00F06DF7"/>
    <w:rsid w:val="00F20867"/>
    <w:rsid w:val="00F956D2"/>
    <w:rsid w:val="00FA250C"/>
    <w:rsid w:val="00FC01BF"/>
    <w:rsid w:val="00FE2618"/>
    <w:rsid w:val="01B930C4"/>
    <w:rsid w:val="020B2736"/>
    <w:rsid w:val="033243BE"/>
    <w:rsid w:val="03B71DAC"/>
    <w:rsid w:val="04732310"/>
    <w:rsid w:val="05386539"/>
    <w:rsid w:val="06B82787"/>
    <w:rsid w:val="08501852"/>
    <w:rsid w:val="08A935B0"/>
    <w:rsid w:val="09C14D34"/>
    <w:rsid w:val="0BA650B0"/>
    <w:rsid w:val="0D7D4536"/>
    <w:rsid w:val="0ECE4857"/>
    <w:rsid w:val="0F10730A"/>
    <w:rsid w:val="108E5C4F"/>
    <w:rsid w:val="11A12F82"/>
    <w:rsid w:val="13C40A2C"/>
    <w:rsid w:val="1444190A"/>
    <w:rsid w:val="14BE39FB"/>
    <w:rsid w:val="14F0313A"/>
    <w:rsid w:val="15E678C5"/>
    <w:rsid w:val="16191DA5"/>
    <w:rsid w:val="1735378C"/>
    <w:rsid w:val="18212328"/>
    <w:rsid w:val="18993CCA"/>
    <w:rsid w:val="18C13529"/>
    <w:rsid w:val="1CCD4300"/>
    <w:rsid w:val="1D5658C1"/>
    <w:rsid w:val="1E4D4A83"/>
    <w:rsid w:val="1E9C6E4C"/>
    <w:rsid w:val="1ED61CF8"/>
    <w:rsid w:val="1FB468CB"/>
    <w:rsid w:val="207746EB"/>
    <w:rsid w:val="22E96B76"/>
    <w:rsid w:val="24BB1284"/>
    <w:rsid w:val="26C2703F"/>
    <w:rsid w:val="27687D3F"/>
    <w:rsid w:val="280B2A12"/>
    <w:rsid w:val="28667E04"/>
    <w:rsid w:val="28CE0768"/>
    <w:rsid w:val="2AD43590"/>
    <w:rsid w:val="2AE01F34"/>
    <w:rsid w:val="2AF21C68"/>
    <w:rsid w:val="2B2B1A81"/>
    <w:rsid w:val="2CC50A25"/>
    <w:rsid w:val="2F5E167A"/>
    <w:rsid w:val="31056176"/>
    <w:rsid w:val="313B7A18"/>
    <w:rsid w:val="3220530C"/>
    <w:rsid w:val="326F281D"/>
    <w:rsid w:val="334206C1"/>
    <w:rsid w:val="339A3692"/>
    <w:rsid w:val="373C5655"/>
    <w:rsid w:val="391E1CBE"/>
    <w:rsid w:val="3A9F292D"/>
    <w:rsid w:val="3B9938D8"/>
    <w:rsid w:val="3EB85615"/>
    <w:rsid w:val="3F313201"/>
    <w:rsid w:val="3F715FAA"/>
    <w:rsid w:val="403171DE"/>
    <w:rsid w:val="4460572C"/>
    <w:rsid w:val="44A112B8"/>
    <w:rsid w:val="44B4037F"/>
    <w:rsid w:val="44F036F7"/>
    <w:rsid w:val="45400A26"/>
    <w:rsid w:val="47C24431"/>
    <w:rsid w:val="47D25DBC"/>
    <w:rsid w:val="47FE27E2"/>
    <w:rsid w:val="495F4514"/>
    <w:rsid w:val="4A61290F"/>
    <w:rsid w:val="4AD15709"/>
    <w:rsid w:val="4C813CA1"/>
    <w:rsid w:val="4E1221FB"/>
    <w:rsid w:val="4E560AD0"/>
    <w:rsid w:val="4F833C1A"/>
    <w:rsid w:val="4FBE218E"/>
    <w:rsid w:val="50A2699C"/>
    <w:rsid w:val="512E314A"/>
    <w:rsid w:val="52B20A82"/>
    <w:rsid w:val="539C26DB"/>
    <w:rsid w:val="56404420"/>
    <w:rsid w:val="59196F5F"/>
    <w:rsid w:val="5A366BCB"/>
    <w:rsid w:val="5F0E0117"/>
    <w:rsid w:val="5FFC2D0E"/>
    <w:rsid w:val="60774D1D"/>
    <w:rsid w:val="62257C51"/>
    <w:rsid w:val="635028B9"/>
    <w:rsid w:val="63D75934"/>
    <w:rsid w:val="6411378E"/>
    <w:rsid w:val="65274E58"/>
    <w:rsid w:val="67BF5F1E"/>
    <w:rsid w:val="69E81FB9"/>
    <w:rsid w:val="6A554E4C"/>
    <w:rsid w:val="6A723C50"/>
    <w:rsid w:val="6C51251D"/>
    <w:rsid w:val="6C7F50EC"/>
    <w:rsid w:val="6D32242B"/>
    <w:rsid w:val="6E4E4092"/>
    <w:rsid w:val="6F9D462E"/>
    <w:rsid w:val="703653BA"/>
    <w:rsid w:val="709F5073"/>
    <w:rsid w:val="72F9312A"/>
    <w:rsid w:val="74E94A1D"/>
    <w:rsid w:val="75421A68"/>
    <w:rsid w:val="76D71AB9"/>
    <w:rsid w:val="783E33C3"/>
    <w:rsid w:val="79B60F87"/>
    <w:rsid w:val="79C44831"/>
    <w:rsid w:val="7B6E5D6D"/>
    <w:rsid w:val="7C030BAC"/>
    <w:rsid w:val="7C10517F"/>
    <w:rsid w:val="7CEC2D4B"/>
    <w:rsid w:val="7DED394B"/>
    <w:rsid w:val="7E3C2506"/>
    <w:rsid w:val="7FD6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keepNext/>
      <w:keepLines/>
      <w:spacing w:before="340" w:after="330" w:line="576" w:lineRule="auto"/>
      <w:ind w:left="429" w:hanging="429" w:hangingChars="134"/>
      <w:jc w:val="center"/>
      <w:outlineLvl w:val="0"/>
    </w:pPr>
    <w:rPr>
      <w:b/>
      <w:kern w:val="44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  <w:style w:type="paragraph" w:styleId="4">
    <w:name w:val="Normal Indent"/>
    <w:basedOn w:val="1"/>
    <w:next w:val="1"/>
    <w:qFormat/>
    <w:locked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Body Text"/>
    <w:basedOn w:val="1"/>
    <w:qFormat/>
    <w:locked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6">
    <w:name w:val="Plain Text"/>
    <w:basedOn w:val="1"/>
    <w:link w:val="15"/>
    <w:qFormat/>
    <w:uiPriority w:val="99"/>
    <w:pPr>
      <w:spacing w:beforeLines="50" w:afterLines="50" w:line="400" w:lineRule="atLeast"/>
    </w:pPr>
    <w:rPr>
      <w:rFonts w:ascii="宋体" w:hAnsi="Courier New"/>
      <w:sz w:val="24"/>
      <w:szCs w:val="24"/>
    </w:rPr>
  </w:style>
  <w:style w:type="paragraph" w:styleId="7">
    <w:name w:val="Balloon Text"/>
    <w:basedOn w:val="1"/>
    <w:link w:val="19"/>
    <w:semiHidden/>
    <w:unhideWhenUsed/>
    <w:qFormat/>
    <w:locked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纯文本 Char"/>
    <w:link w:val="6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6">
    <w:name w:val="页脚 Char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font1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font71"/>
    <w:basedOn w:val="13"/>
    <w:qFormat/>
    <w:uiPriority w:val="0"/>
    <w:rPr>
      <w:rFonts w:hint="default" w:ascii="等线" w:hAnsi="等线" w:eastAsia="等线" w:cs="等线"/>
      <w:b/>
      <w:color w:val="000000"/>
      <w:sz w:val="21"/>
      <w:szCs w:val="21"/>
      <w:u w:val="none"/>
    </w:rPr>
  </w:style>
  <w:style w:type="character" w:customStyle="1" w:styleId="21">
    <w:name w:val="font31"/>
    <w:basedOn w:val="13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5783-9B05-42D7-A232-7AC5D819A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1892</Words>
  <Characters>1990</Characters>
  <Lines>14</Lines>
  <Paragraphs>4</Paragraphs>
  <TotalTime>0</TotalTime>
  <ScaleCrop>false</ScaleCrop>
  <LinksUpToDate>false</LinksUpToDate>
  <CharactersWithSpaces>2216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2018-03-05T02:14:00Z</dcterms:created>
  <dc:creator>明莱—郭永龙</dc:creator>
  <cp:lastModifiedBy>Lenovo</cp:lastModifiedBy>
  <cp:lastPrinted>2024-03-11T04:38:00Z</cp:lastPrinted>
  <dcterms:modified xsi:type="dcterms:W3CDTF">2025-05-22T06:42:58Z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55981EDEBB7F4BAF96DFA18B1B5FBE2B_13</vt:lpwstr>
  </property>
  <property fmtid="{D5CDD505-2E9C-101B-9397-08002B2CF9AE}" pid="4" name="KSOTemplateDocerSaveRecord">
    <vt:lpwstr>eyJoZGlkIjoiZmNiYjhjMGFjYWM5NDMyMmZlY2Q3OGEwYjYxNTNlYTkifQ==</vt:lpwstr>
  </property>
</Properties>
</file>