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</w:rPr>
        <w:t>浙江水利水电学院</w:t>
      </w:r>
      <w:r>
        <w:rPr>
          <w:rFonts w:hint="eastAsia"/>
          <w:b/>
          <w:bCs/>
          <w:sz w:val="44"/>
          <w:szCs w:val="44"/>
          <w:lang w:val="en-US" w:eastAsia="zh-CN"/>
        </w:rPr>
        <w:t>南浔</w:t>
      </w:r>
      <w:r>
        <w:rPr>
          <w:rFonts w:hint="eastAsia"/>
          <w:b/>
          <w:bCs/>
          <w:sz w:val="44"/>
          <w:szCs w:val="44"/>
          <w:lang w:eastAsia="zh-CN"/>
        </w:rPr>
        <w:t>校区</w:t>
      </w:r>
      <w:r>
        <w:rPr>
          <w:rFonts w:hint="eastAsia"/>
          <w:b/>
          <w:bCs/>
          <w:sz w:val="44"/>
          <w:szCs w:val="44"/>
          <w:lang w:val="en-US" w:eastAsia="zh-CN"/>
        </w:rPr>
        <w:t>食堂扶梯安全节能改造</w:t>
      </w:r>
      <w:r>
        <w:rPr>
          <w:rFonts w:hint="eastAsia"/>
          <w:b/>
          <w:bCs/>
          <w:sz w:val="44"/>
          <w:szCs w:val="44"/>
          <w:lang w:eastAsia="zh-CN"/>
        </w:rPr>
        <w:t>项目</w:t>
      </w:r>
      <w:r>
        <w:rPr>
          <w:rFonts w:hint="eastAsia"/>
          <w:b/>
          <w:bCs/>
          <w:sz w:val="44"/>
          <w:szCs w:val="44"/>
          <w:lang w:val="en-US" w:eastAsia="zh-CN"/>
        </w:rPr>
        <w:t>技术需求及报价单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一、立项依据：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80"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坚持以师生为中心，持续办好民生实事。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南浔校区东、西食堂扶梯原设计安装为上驱动非标项目，都是采用直接电源供电，且不进行调速，使得自动扶梯在无人乘坐的时候仍然全速运行，造成大量电能浪费。并且长时间运行下，导致</w:t>
      </w:r>
      <w:r>
        <w:rPr>
          <w:rFonts w:hint="eastAsia" w:ascii="仿宋" w:hAnsi="仿宋" w:eastAsia="仿宋" w:cs="仿宋"/>
          <w:sz w:val="24"/>
          <w:szCs w:val="24"/>
        </w:rPr>
        <w:t>机械磨损严重、使用寿命缩短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也会导致扶梯</w:t>
      </w:r>
      <w:r>
        <w:rPr>
          <w:rFonts w:hint="eastAsia" w:ascii="仿宋" w:hAnsi="仿宋" w:eastAsia="仿宋" w:cs="仿宋"/>
          <w:sz w:val="24"/>
          <w:szCs w:val="24"/>
        </w:rPr>
        <w:t>故障率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上升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致使使用成本高。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为了在校师安全和减</w:t>
      </w:r>
      <w:r>
        <w:rPr>
          <w:rFonts w:hint="eastAsia" w:ascii="仿宋" w:hAnsi="仿宋" w:eastAsia="仿宋" w:cs="仿宋"/>
          <w:sz w:val="24"/>
          <w:szCs w:val="24"/>
        </w:rPr>
        <w:t>少不必要的浪费，因此,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将</w:t>
      </w:r>
      <w:r>
        <w:rPr>
          <w:rFonts w:hint="eastAsia" w:ascii="仿宋" w:hAnsi="仿宋" w:eastAsia="仿宋" w:cs="仿宋"/>
          <w:sz w:val="24"/>
          <w:szCs w:val="24"/>
        </w:rPr>
        <w:t>申请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对南浔校区东西食堂扶梯（共8台）进行安全节能改造。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、项目预算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9.4万元，报价单如下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:</w:t>
      </w:r>
    </w:p>
    <w:tbl>
      <w:tblPr>
        <w:tblStyle w:val="7"/>
        <w:tblW w:w="812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839"/>
        <w:gridCol w:w="1630"/>
        <w:gridCol w:w="836"/>
        <w:gridCol w:w="894"/>
        <w:gridCol w:w="1068"/>
        <w:gridCol w:w="11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项目名称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规格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工程量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单价(元)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合价(元)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变频器（AS500）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11KW/380V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入口对射光电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PS/AST2NA5M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变频柜箱体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450*300*258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制动电阻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R*G-LT4KW40欧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根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动力线RVV4*6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RVV4*6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3芯电缆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RVV3*0.75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240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12芯电缆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RVV12*0.75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单芯电缆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RVV0.75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240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更换控制柜铭牌、合格证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各8块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短接铜片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更换入口盖板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增加慢反射光电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BA2M-DDT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增加运行指示灯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YK-LED-02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安装费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合计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三、具体改造方案如下：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80"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1、在自动扶梯上、下端站入口的适当位置分别安装红外线传感器，采集2米距离范围内是否有人乘梯的信号。当二台自动扶梯交换运行方式时，出口处红外线传感器信号自动断开，入口处检测信号始终有效。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80"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节能运行时间控制是：当乘客走近入口传感器的检测范围时，预计(设定)乘客走到扶梯前约需1~2秒钟，在这段时间内变频器从15Hz节电慢行状态加速到50Hz正常运行速度。为保证安全，在乘客踏上扶梯前完成加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80"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乘客站在扶梯上的运行时间约是20~30秒钟(由扶梯长度决定)。当乘客离开后自动延时(设定)2~3秒钟，当入口传感器检测无人再乘坐时，变频器减速到15Hz运行。在自动扶梯载人运行过程中，如果连续有人乘坐，则变频器会自动刷新计时20~30秒钟，维持正常运行速度，直至最后的乘客离开，才延时后降速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80"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3、自动扶梯在向下运行时，电动机进入再生发电状态，载客量越多产生的再生能量也越大，此时可以将两台自动扶梯(与上行扶梯)的变频器连接成直流母线式，充分利用下行自动扶梯产生的再生能量供给上行扶梯使用，没有能量浪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80"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考虑到在极少数情况下也有下行扶梯单独运行的可能，这时可采取能耗方式释放再生能量，在变频器规定的端口串接一定功率和阻值的刹车电阻即可。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80"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4、当因某种原因紧急停车时，变频器增加电磁抱闸，以确保安全。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80"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5、自动扶梯检修时，运行频率可设定在25Hz，以便于检修和观察扶梯机构的运动情况，避免了原系统额定速度停止不及时的不足。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80"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6、本改造方案完全保留扶梯原有运行模式。设计有切换开关，当变频器检修或故障时，变频控制电路完全撤出控制系统，不影响正常使用。保证在任何运行模式下运行都符合国家GB-16899关于扶梯电梯安全标准的要求。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四、其他要求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80"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1.电梯型号为：EF10-怡达快速自动扶梯，项目改造完毕需获得特种设备新合格证及铭牌。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80"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2.最终结算以审计为准。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80"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80"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80"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80"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80"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80"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80"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80"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80"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80"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80"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80"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80"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80"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80"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80"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80"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0" w:name="_GoBack"/>
      <w:bookmarkEnd w:id="0"/>
    </w:p>
    <w:p>
      <w:pPr>
        <w:pStyle w:val="3"/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具有履行合同所必需的设备和专业技术能力的承诺函</w:t>
      </w:r>
    </w:p>
    <w:p>
      <w:pPr>
        <w:pStyle w:val="3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采购人：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浙江水利水电学院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ind w:firstLine="600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我方 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公司名称</w:t>
      </w:r>
      <w:r>
        <w:rPr>
          <w:rFonts w:hint="eastAsia" w:ascii="仿宋" w:hAnsi="仿宋" w:eastAsia="仿宋" w:cs="仿宋"/>
          <w:sz w:val="30"/>
          <w:szCs w:val="30"/>
        </w:rPr>
        <w:t>）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30"/>
          <w:szCs w:val="30"/>
        </w:rPr>
        <w:t>承诺具有履行合同所必需的设备和专业技术能力。如有虚假，采购人可取消我方任何资格（投标/中标/签订合同），我方对此无任何异议。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投标人全称（盖单位公章）：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日期：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80" w:line="360" w:lineRule="auto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213" w:right="1519" w:bottom="110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wNzJhMDhmODcyNGQzNDY1M2M5OTllYjIyNTBlYjIifQ=="/>
  </w:docVars>
  <w:rsids>
    <w:rsidRoot w:val="00172B4A"/>
    <w:rsid w:val="000C3A68"/>
    <w:rsid w:val="00165E5E"/>
    <w:rsid w:val="00166B42"/>
    <w:rsid w:val="00172B4A"/>
    <w:rsid w:val="001B25FC"/>
    <w:rsid w:val="002B76F8"/>
    <w:rsid w:val="002E2B3B"/>
    <w:rsid w:val="002E5985"/>
    <w:rsid w:val="00327865"/>
    <w:rsid w:val="00331C79"/>
    <w:rsid w:val="0040437F"/>
    <w:rsid w:val="00404E32"/>
    <w:rsid w:val="005874A0"/>
    <w:rsid w:val="00640AAD"/>
    <w:rsid w:val="006E45E3"/>
    <w:rsid w:val="00794829"/>
    <w:rsid w:val="007B00CB"/>
    <w:rsid w:val="008434B6"/>
    <w:rsid w:val="008446EF"/>
    <w:rsid w:val="00875A7B"/>
    <w:rsid w:val="00881798"/>
    <w:rsid w:val="0088377E"/>
    <w:rsid w:val="0093064A"/>
    <w:rsid w:val="00945F90"/>
    <w:rsid w:val="00962C73"/>
    <w:rsid w:val="009C4989"/>
    <w:rsid w:val="009D0D8E"/>
    <w:rsid w:val="009D3DEA"/>
    <w:rsid w:val="009F66B1"/>
    <w:rsid w:val="00A27752"/>
    <w:rsid w:val="00B74069"/>
    <w:rsid w:val="00BD215C"/>
    <w:rsid w:val="00BF0A4B"/>
    <w:rsid w:val="00C106A4"/>
    <w:rsid w:val="00C31EC8"/>
    <w:rsid w:val="00C44251"/>
    <w:rsid w:val="00C46176"/>
    <w:rsid w:val="00C80F7A"/>
    <w:rsid w:val="00CC3C36"/>
    <w:rsid w:val="00CE43AD"/>
    <w:rsid w:val="00CE5D7F"/>
    <w:rsid w:val="00D1428D"/>
    <w:rsid w:val="00D359CF"/>
    <w:rsid w:val="00D45DB2"/>
    <w:rsid w:val="00DE6906"/>
    <w:rsid w:val="00E24946"/>
    <w:rsid w:val="00E65055"/>
    <w:rsid w:val="00ED1AE7"/>
    <w:rsid w:val="00F2712E"/>
    <w:rsid w:val="00F73B14"/>
    <w:rsid w:val="00FE4A67"/>
    <w:rsid w:val="00FF1ABE"/>
    <w:rsid w:val="02482BBF"/>
    <w:rsid w:val="0320472C"/>
    <w:rsid w:val="03F502DF"/>
    <w:rsid w:val="059E36F3"/>
    <w:rsid w:val="082D5D97"/>
    <w:rsid w:val="0E0A35DF"/>
    <w:rsid w:val="11586E4C"/>
    <w:rsid w:val="12F86B39"/>
    <w:rsid w:val="15A24B3A"/>
    <w:rsid w:val="184F38D1"/>
    <w:rsid w:val="18F03E0E"/>
    <w:rsid w:val="191663FA"/>
    <w:rsid w:val="1FEC5524"/>
    <w:rsid w:val="24370C30"/>
    <w:rsid w:val="26D46B1D"/>
    <w:rsid w:val="27AC35F6"/>
    <w:rsid w:val="2E4B463D"/>
    <w:rsid w:val="37A778DB"/>
    <w:rsid w:val="38F65019"/>
    <w:rsid w:val="398F295D"/>
    <w:rsid w:val="3B956777"/>
    <w:rsid w:val="3D954A0C"/>
    <w:rsid w:val="3DAF7237"/>
    <w:rsid w:val="48C20A74"/>
    <w:rsid w:val="4BE41ADA"/>
    <w:rsid w:val="4C3C28EB"/>
    <w:rsid w:val="51C55131"/>
    <w:rsid w:val="58BC54DF"/>
    <w:rsid w:val="59545718"/>
    <w:rsid w:val="5EAD6C1F"/>
    <w:rsid w:val="622639C9"/>
    <w:rsid w:val="65006754"/>
    <w:rsid w:val="65966A89"/>
    <w:rsid w:val="665560C1"/>
    <w:rsid w:val="685228FF"/>
    <w:rsid w:val="6F6C1EA6"/>
    <w:rsid w:val="731C5E5F"/>
    <w:rsid w:val="73450F93"/>
    <w:rsid w:val="769767EC"/>
    <w:rsid w:val="76C55B0C"/>
    <w:rsid w:val="7969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mbria" w:hAnsi="Cambria" w:eastAsia="宋体"/>
      <w:b/>
      <w:bCs/>
      <w:kern w:val="2"/>
      <w:sz w:val="30"/>
      <w:szCs w:val="3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adjustRightInd w:val="0"/>
      <w:spacing w:line="315" w:lineRule="atLeast"/>
      <w:jc w:val="left"/>
      <w:textAlignment w:val="baseline"/>
    </w:pPr>
    <w:rPr>
      <w:rFonts w:ascii="仿宋_GB2312" w:eastAsia="仿宋_GB2312"/>
      <w:kern w:val="0"/>
      <w:sz w:val="28"/>
      <w:szCs w:val="20"/>
    </w:r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basedOn w:val="9"/>
    <w:link w:val="4"/>
    <w:qFormat/>
    <w:uiPriority w:val="0"/>
    <w:rPr>
      <w:kern w:val="2"/>
      <w:sz w:val="18"/>
      <w:szCs w:val="18"/>
    </w:rPr>
  </w:style>
  <w:style w:type="paragraph" w:customStyle="1" w:styleId="13">
    <w:name w:val="列出段落2"/>
    <w:basedOn w:val="1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14">
    <w:name w:val="font2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854</Words>
  <Characters>1022</Characters>
  <Lines>21</Lines>
  <Paragraphs>6</Paragraphs>
  <TotalTime>0</TotalTime>
  <ScaleCrop>false</ScaleCrop>
  <LinksUpToDate>false</LinksUpToDate>
  <CharactersWithSpaces>1033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2023-04-13T06:21:00Z</dcterms:created>
  <dc:creator>Administrator</dc:creator>
  <cp:lastModifiedBy>A盖世小可爱</cp:lastModifiedBy>
  <cp:lastPrinted>2023-11-29T03:26:00Z</cp:lastPrinted>
  <dcterms:modified xsi:type="dcterms:W3CDTF">2023-11-29T04:57:00Z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43E8B94A80F941459C42E57C24C70F10_13</vt:lpwstr>
  </property>
</Properties>
</file>