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浙江水利水电学院</w:t>
      </w:r>
      <w:r>
        <w:rPr>
          <w:rFonts w:hint="eastAsia"/>
          <w:b/>
          <w:bCs/>
          <w:sz w:val="32"/>
          <w:szCs w:val="32"/>
          <w:lang w:eastAsia="zh-CN"/>
        </w:rPr>
        <w:t>教职工服务点修缮工程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129"/>
        <w:gridCol w:w="1448"/>
        <w:gridCol w:w="133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uto"/>
              <w:ind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12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轻质砖隔墙（包括网格及粉刷）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70m²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粉刷墙面（腻子、乳胶漆）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180m²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顶部粉刷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（腻子、乳胶漆）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110m²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磨砂钢化玻璃隔断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（如图，包括铝合金）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12m²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钢化玻璃门隔断（含地弹簧和五金）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3m²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地面地坪漆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110m²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强电电路铺设（包括管线、开槽、预埋86塑盒子）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110m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电力电缆敷设 WDZ-YJY-1kV-4x25+1x16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100m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86拼装合暗装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56个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35只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插座及配电箱及空开等配电设备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1项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消防管油漆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1项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垃圾清理外运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1项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施工工艺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根据图纸施工，24轻质砖隔墙隔断，新砌墙面腻子抹平及乳胶漆粉刷，原有墙面铲灰批腻子涂抹乳胶漆两遍；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指定点位顶部粉刷，颜色由甲方定；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8厚钢化玻璃，铝合金包边磨砂钢化玻璃隔断；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原有地坪漆铲除并整平，刷抹规定颜色地面地坪漆；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从综合楼的高配房拉电缆线，安装配电箱及空开，强电线路改造，线容量符合冷柜、冰箱等电器设备正常使用，插座打孔安装；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顶部消防管原有油漆铲除，防锈油漆涂抹；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垃圾外运卫生清理；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乳胶漆</w:t>
      </w:r>
      <w:r>
        <w:rPr>
          <w:rFonts w:hint="eastAsia" w:ascii="宋体" w:hAnsi="宋体" w:cs="宋体"/>
          <w:sz w:val="28"/>
          <w:szCs w:val="28"/>
          <w:lang w:eastAsia="zh-CN"/>
        </w:rPr>
        <w:t>推荐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品牌：立邦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多乐士 嘉宝莉（要求环保净化五合一）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地坪漆推荐品牌：秀珀 长青藤  来士威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电路设备推荐品牌：中策  鸿雁  正泰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如图所示：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-318770</wp:posOffset>
            </wp:positionH>
            <wp:positionV relativeFrom="page">
              <wp:posOffset>5008880</wp:posOffset>
            </wp:positionV>
            <wp:extent cx="6005830" cy="4123690"/>
            <wp:effectExtent l="0" t="0" r="13970" b="1016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6759" r="5970" b="1191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附件二：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具有履行合同所必需的设备和专业技术能力的承诺函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（采购人）：</w:t>
      </w:r>
    </w:p>
    <w:p>
      <w:pPr>
        <w:pStyle w:val="3"/>
        <w:ind w:firstLine="565" w:firstLineChars="2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附件三：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现 场 勘 察 证 明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浙江水利水电学院教职工服务点修缮工程项目</w:t>
      </w:r>
    </w:p>
    <w:p>
      <w:pPr>
        <w:pStyle w:val="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项目编号：SYHQX20210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401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ind w:firstLine="565" w:firstLineChars="2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要求，我方（公司名称：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）于   年  月  日完成现场勘察，并根据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采购人：（盖章）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投标人名称：（盖章）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勘察时间：      年       月   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AFE21"/>
    <w:multiLevelType w:val="singleLevel"/>
    <w:tmpl w:val="833AFE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BE7FD99"/>
    <w:multiLevelType w:val="singleLevel"/>
    <w:tmpl w:val="8BE7FD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2341F"/>
    <w:rsid w:val="00240559"/>
    <w:rsid w:val="004D5807"/>
    <w:rsid w:val="00F310AA"/>
    <w:rsid w:val="04DB0FEA"/>
    <w:rsid w:val="07D1232D"/>
    <w:rsid w:val="0C091939"/>
    <w:rsid w:val="14C4144F"/>
    <w:rsid w:val="16D027B3"/>
    <w:rsid w:val="18CC18F0"/>
    <w:rsid w:val="1D12341F"/>
    <w:rsid w:val="21B143B2"/>
    <w:rsid w:val="2777588E"/>
    <w:rsid w:val="2B3B53BD"/>
    <w:rsid w:val="31496359"/>
    <w:rsid w:val="316D3BE3"/>
    <w:rsid w:val="38764139"/>
    <w:rsid w:val="39DC581C"/>
    <w:rsid w:val="3FBF700B"/>
    <w:rsid w:val="4CAF61C2"/>
    <w:rsid w:val="51EB6169"/>
    <w:rsid w:val="53A612CE"/>
    <w:rsid w:val="54D756D6"/>
    <w:rsid w:val="6C844912"/>
    <w:rsid w:val="6CB27DDE"/>
    <w:rsid w:val="6E90286E"/>
    <w:rsid w:val="708A382F"/>
    <w:rsid w:val="73347706"/>
    <w:rsid w:val="743C68DC"/>
    <w:rsid w:val="7A3B0877"/>
    <w:rsid w:val="7C7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2021-03-30T00:03:00Z</dcterms:created>
  <dc:creator>楠雄de姐姐</dc:creator>
  <cp:lastModifiedBy>sun4finger</cp:lastModifiedBy>
  <cp:lastPrinted>2021-03-30T05:34:00Z</cp:lastPrinted>
  <dcterms:modified xsi:type="dcterms:W3CDTF">2021-04-06T02:18:12Z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9CB232C114994480B330A9D7C2483312</vt:lpwstr>
  </property>
</Properties>
</file>